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15192870"/>
        <w:docPartObj>
          <w:docPartGallery w:val="Cover Pages"/>
          <w:docPartUnique/>
        </w:docPartObj>
      </w:sdtPr>
      <w:sdtEndPr>
        <w:rPr>
          <w:lang w:val="en-US"/>
        </w:rPr>
      </w:sdtEndPr>
      <w:sdtContent>
        <w:p w:rsidR="00BD738C" w:rsidRDefault="00BD738C">
          <w:r>
            <w:rPr>
              <w:noProof/>
              <w:lang w:eastAsia="en-GB"/>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80E7CCA"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15934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rect>
                    <w10:wrap anchorx="page" anchory="page"/>
                  </v:group>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698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738C" w:rsidRDefault="00BD738C" w:rsidP="00BD738C">
                                <w:pPr>
                                  <w:pStyle w:val="NoSpacing"/>
                                  <w:jc w:val="right"/>
                                  <w:rPr>
                                    <w:color w:val="595959" w:themeColor="text1" w:themeTint="A6"/>
                                    <w:sz w:val="18"/>
                                    <w:szCs w:val="18"/>
                                  </w:rPr>
                                </w:pPr>
                                <w:r>
                                  <w:rPr>
                                    <w:noProof/>
                                    <w:color w:val="595959" w:themeColor="text1" w:themeTint="A6"/>
                                    <w:sz w:val="18"/>
                                    <w:szCs w:val="18"/>
                                    <w:lang w:eastAsia="en-GB"/>
                                  </w:rPr>
                                  <w:drawing>
                                    <wp:inline distT="0" distB="0" distL="0" distR="0">
                                      <wp:extent cx="1673352" cy="658800"/>
                                      <wp:effectExtent l="0" t="0" r="317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fsiyat logo.png"/>
                                              <pic:cNvPicPr/>
                                            </pic:nvPicPr>
                                            <pic:blipFill>
                                              <a:blip r:embed="rId10">
                                                <a:extLst>
                                                  <a:ext uri="{28A0092B-C50C-407E-A947-70E740481C1C}">
                                                    <a14:useLocalDpi xmlns:a14="http://schemas.microsoft.com/office/drawing/2010/main" val="0"/>
                                                  </a:ext>
                                                </a:extLst>
                                              </a:blip>
                                              <a:stretch>
                                                <a:fillRect/>
                                              </a:stretch>
                                            </pic:blipFill>
                                            <pic:spPr>
                                              <a:xfrm>
                                                <a:off x="0" y="0"/>
                                                <a:ext cx="1673352" cy="658800"/>
                                              </a:xfrm>
                                              <a:prstGeom prst="rect">
                                                <a:avLst/>
                                              </a:prstGeom>
                                            </pic:spPr>
                                          </pic:pic>
                                        </a:graphicData>
                                      </a:graphic>
                                    </wp:inline>
                                  </w:drawing>
                                </w:r>
                                <w:r>
                                  <w:rPr>
                                    <w:color w:val="595959" w:themeColor="text1" w:themeTint="A6"/>
                                    <w:sz w:val="18"/>
                                    <w:szCs w:val="18"/>
                                  </w:rPr>
                                  <w:tab/>
                                </w:r>
                                <w:r>
                                  <w:rPr>
                                    <w:color w:val="595959" w:themeColor="text1" w:themeTint="A6"/>
                                    <w:sz w:val="18"/>
                                    <w:szCs w:val="18"/>
                                  </w:rPr>
                                  <w:tab/>
                                </w:r>
                                <w:r>
                                  <w:rPr>
                                    <w:color w:val="595959" w:themeColor="text1" w:themeTint="A6"/>
                                    <w:sz w:val="18"/>
                                    <w:szCs w:val="18"/>
                                  </w:rPr>
                                  <w:tab/>
                                </w:r>
                                <w:r>
                                  <w:rPr>
                                    <w:color w:val="595959" w:themeColor="text1" w:themeTint="A6"/>
                                    <w:sz w:val="18"/>
                                    <w:szCs w:val="18"/>
                                  </w:rPr>
                                  <w:tab/>
                                </w:r>
                                <w:r>
                                  <w:rPr>
                                    <w:noProof/>
                                    <w:lang w:eastAsia="en-GB"/>
                                  </w:rPr>
                                  <w:drawing>
                                    <wp:inline distT="0" distB="0" distL="0" distR="0" wp14:anchorId="20C3B9C3" wp14:editId="0FBA37A6">
                                      <wp:extent cx="1318895" cy="657860"/>
                                      <wp:effectExtent l="0" t="0" r="0" b="8890"/>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8895" cy="657860"/>
                                              </a:xfrm>
                                              <a:prstGeom prst="rect">
                                                <a:avLst/>
                                              </a:prstGeom>
                                              <a:noFill/>
                                              <a:ln>
                                                <a:noFill/>
                                              </a:ln>
                                            </pic:spPr>
                                          </pic:pic>
                                        </a:graphicData>
                                      </a:graphic>
                                    </wp:inline>
                                  </w:drawing>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rsidR="00BD738C" w:rsidRDefault="00BD738C" w:rsidP="00BD738C">
                          <w:pPr>
                            <w:pStyle w:val="NoSpacing"/>
                            <w:jc w:val="right"/>
                            <w:rPr>
                              <w:color w:val="595959" w:themeColor="text1" w:themeTint="A6"/>
                              <w:sz w:val="18"/>
                              <w:szCs w:val="18"/>
                            </w:rPr>
                          </w:pPr>
                          <w:r>
                            <w:rPr>
                              <w:noProof/>
                              <w:color w:val="595959" w:themeColor="text1" w:themeTint="A6"/>
                              <w:sz w:val="18"/>
                              <w:szCs w:val="18"/>
                              <w:lang w:eastAsia="en-GB"/>
                            </w:rPr>
                            <w:drawing>
                              <wp:inline distT="0" distB="0" distL="0" distR="0">
                                <wp:extent cx="1673352" cy="658800"/>
                                <wp:effectExtent l="0" t="0" r="317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fsiyat logo.png"/>
                                        <pic:cNvPicPr/>
                                      </pic:nvPicPr>
                                      <pic:blipFill>
                                        <a:blip r:embed="rId12">
                                          <a:extLst>
                                            <a:ext uri="{28A0092B-C50C-407E-A947-70E740481C1C}">
                                              <a14:useLocalDpi xmlns:a14="http://schemas.microsoft.com/office/drawing/2010/main" val="0"/>
                                            </a:ext>
                                          </a:extLst>
                                        </a:blip>
                                        <a:stretch>
                                          <a:fillRect/>
                                        </a:stretch>
                                      </pic:blipFill>
                                      <pic:spPr>
                                        <a:xfrm>
                                          <a:off x="0" y="0"/>
                                          <a:ext cx="1673352" cy="658800"/>
                                        </a:xfrm>
                                        <a:prstGeom prst="rect">
                                          <a:avLst/>
                                        </a:prstGeom>
                                      </pic:spPr>
                                    </pic:pic>
                                  </a:graphicData>
                                </a:graphic>
                              </wp:inline>
                            </w:drawing>
                          </w:r>
                          <w:r>
                            <w:rPr>
                              <w:color w:val="595959" w:themeColor="text1" w:themeTint="A6"/>
                              <w:sz w:val="18"/>
                              <w:szCs w:val="18"/>
                            </w:rPr>
                            <w:tab/>
                          </w:r>
                          <w:r>
                            <w:rPr>
                              <w:color w:val="595959" w:themeColor="text1" w:themeTint="A6"/>
                              <w:sz w:val="18"/>
                              <w:szCs w:val="18"/>
                            </w:rPr>
                            <w:tab/>
                          </w:r>
                          <w:r>
                            <w:rPr>
                              <w:color w:val="595959" w:themeColor="text1" w:themeTint="A6"/>
                              <w:sz w:val="18"/>
                              <w:szCs w:val="18"/>
                            </w:rPr>
                            <w:tab/>
                          </w:r>
                          <w:r>
                            <w:rPr>
                              <w:color w:val="595959" w:themeColor="text1" w:themeTint="A6"/>
                              <w:sz w:val="18"/>
                              <w:szCs w:val="18"/>
                            </w:rPr>
                            <w:tab/>
                          </w:r>
                          <w:r>
                            <w:rPr>
                              <w:noProof/>
                              <w:lang w:eastAsia="en-GB"/>
                            </w:rPr>
                            <w:drawing>
                              <wp:inline distT="0" distB="0" distL="0" distR="0" wp14:anchorId="20C3B9C3" wp14:editId="0FBA37A6">
                                <wp:extent cx="1318895" cy="657860"/>
                                <wp:effectExtent l="0" t="0" r="0" b="8890"/>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8895" cy="657860"/>
                                        </a:xfrm>
                                        <a:prstGeom prst="rect">
                                          <a:avLst/>
                                        </a:prstGeom>
                                        <a:noFill/>
                                        <a:ln>
                                          <a:noFill/>
                                        </a:ln>
                                      </pic:spPr>
                                    </pic:pic>
                                  </a:graphicData>
                                </a:graphic>
                              </wp:inline>
                            </w:drawing>
                          </w: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738C" w:rsidRDefault="00A56C23">
                                <w:pPr>
                                  <w:jc w:val="right"/>
                                  <w:rPr>
                                    <w:color w:val="159345" w:themeColor="accent1"/>
                                    <w:sz w:val="64"/>
                                    <w:szCs w:val="64"/>
                                  </w:rPr>
                                </w:pPr>
                                <w:sdt>
                                  <w:sdtPr>
                                    <w:rPr>
                                      <w:caps/>
                                      <w:color w:val="15934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B4681">
                                      <w:rPr>
                                        <w:caps/>
                                        <w:color w:val="159345" w:themeColor="accent1"/>
                                        <w:sz w:val="64"/>
                                        <w:szCs w:val="64"/>
                                      </w:rPr>
                                      <w:t>referral guidance</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BD738C" w:rsidRDefault="009B4681">
                                    <w:pPr>
                                      <w:jc w:val="right"/>
                                      <w:rPr>
                                        <w:smallCaps/>
                                        <w:color w:val="404040" w:themeColor="text1" w:themeTint="BF"/>
                                        <w:sz w:val="36"/>
                                        <w:szCs w:val="36"/>
                                      </w:rPr>
                                    </w:pPr>
                                    <w:r>
                                      <w:rPr>
                                        <w:color w:val="404040" w:themeColor="text1" w:themeTint="BF"/>
                                        <w:sz w:val="36"/>
                                        <w:szCs w:val="36"/>
                                      </w:rPr>
                                      <w:t>for referrals for Intercultural Therapy through the KeepingWell NCL Hub</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rsidR="00BD738C" w:rsidRDefault="00B76094">
                          <w:pPr>
                            <w:jc w:val="right"/>
                            <w:rPr>
                              <w:color w:val="159345" w:themeColor="accent1"/>
                              <w:sz w:val="64"/>
                              <w:szCs w:val="64"/>
                            </w:rPr>
                          </w:pPr>
                          <w:sdt>
                            <w:sdtPr>
                              <w:rPr>
                                <w:caps/>
                                <w:color w:val="15934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B4681">
                                <w:rPr>
                                  <w:caps/>
                                  <w:color w:val="159345" w:themeColor="accent1"/>
                                  <w:sz w:val="64"/>
                                  <w:szCs w:val="64"/>
                                </w:rPr>
                                <w:t>referral guidance</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BD738C" w:rsidRDefault="009B4681">
                              <w:pPr>
                                <w:jc w:val="right"/>
                                <w:rPr>
                                  <w:smallCaps/>
                                  <w:color w:val="404040" w:themeColor="text1" w:themeTint="BF"/>
                                  <w:sz w:val="36"/>
                                  <w:szCs w:val="36"/>
                                </w:rPr>
                              </w:pPr>
                              <w:r>
                                <w:rPr>
                                  <w:color w:val="404040" w:themeColor="text1" w:themeTint="BF"/>
                                  <w:sz w:val="36"/>
                                  <w:szCs w:val="36"/>
                                </w:rPr>
                                <w:t>for referrals for Intercultural Therapy through the KeepingWell NCL Hub</w:t>
                              </w:r>
                            </w:p>
                          </w:sdtContent>
                        </w:sdt>
                      </w:txbxContent>
                    </v:textbox>
                    <w10:wrap type="square" anchorx="page" anchory="page"/>
                  </v:shape>
                </w:pict>
              </mc:Fallback>
            </mc:AlternateContent>
          </w:r>
        </w:p>
        <w:p w:rsidR="009B4681" w:rsidRDefault="009B4681" w:rsidP="009B4681">
          <w:pPr>
            <w:rPr>
              <w:lang w:val="en-US"/>
            </w:rPr>
          </w:pPr>
          <w:r>
            <w:rPr>
              <w:noProof/>
              <w:lang w:eastAsia="en-GB"/>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ge">
                      <wp:posOffset>7085227</wp:posOffset>
                    </wp:positionV>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inorHAnsi" w:eastAsiaTheme="minorEastAsia" w:hAnsiTheme="minorHAnsi" w:cstheme="minorBidi"/>
                                    <w:color w:val="auto"/>
                                    <w:sz w:val="20"/>
                                    <w:szCs w:val="20"/>
                                  </w:rPr>
                                  <w:id w:val="-1800297949"/>
                                  <w:docPartObj>
                                    <w:docPartGallery w:val="Table of Contents"/>
                                    <w:docPartUnique/>
                                  </w:docPartObj>
                                </w:sdtPr>
                                <w:sdtEndPr>
                                  <w:rPr>
                                    <w:b/>
                                    <w:bCs/>
                                    <w:noProof/>
                                  </w:rPr>
                                </w:sdtEndPr>
                                <w:sdtContent>
                                  <w:p w:rsidR="009B4681" w:rsidRDefault="009B4681" w:rsidP="009B4681">
                                    <w:pPr>
                                      <w:pStyle w:val="TOCHeading"/>
                                      <w:jc w:val="right"/>
                                    </w:pPr>
                                    <w:r>
                                      <w:t>Contents</w:t>
                                    </w:r>
                                  </w:p>
                                  <w:p w:rsidR="009B4681" w:rsidRDefault="009B4681" w:rsidP="00122C94">
                                    <w:pPr>
                                      <w:jc w:val="right"/>
                                    </w:pPr>
                                    <w:r>
                                      <w:t>Introduction</w:t>
                                    </w:r>
                                    <w:r w:rsidR="0052059F">
                                      <w:t xml:space="preserve">         </w:t>
                                    </w:r>
                                    <w:r>
                                      <w:t>1</w:t>
                                    </w:r>
                                    <w:r>
                                      <w:br/>
                                      <w:t>How to refer</w:t>
                                    </w:r>
                                    <w:r>
                                      <w:tab/>
                                    </w:r>
                                    <w:r w:rsidR="00555415">
                                      <w:t>1</w:t>
                                    </w:r>
                                    <w:r>
                                      <w:br/>
                                    </w:r>
                                    <w:r w:rsidR="00F05CD0">
                                      <w:t>Who we see</w:t>
                                    </w:r>
                                    <w:r w:rsidR="00122C94">
                                      <w:t xml:space="preserve">         </w:t>
                                    </w:r>
                                    <w:r w:rsidR="007B6B65">
                                      <w:t>1</w:t>
                                    </w:r>
                                    <w:r w:rsidR="00122C94">
                                      <w:br/>
                                      <w:t>Im</w:t>
                                    </w:r>
                                    <w:r w:rsidR="007B6B65">
                                      <w:t>p</w:t>
                                    </w:r>
                                    <w:r w:rsidR="00122C94">
                                      <w:t>roving access</w:t>
                                    </w:r>
                                    <w:r w:rsidR="00122C94">
                                      <w:tab/>
                                      <w:t xml:space="preserve">  </w:t>
                                    </w:r>
                                    <w:r w:rsidR="007B6B65">
                                      <w:t xml:space="preserve">   </w:t>
                                    </w:r>
                                    <w:r w:rsidR="00122C94">
                                      <w:t xml:space="preserve">   3</w:t>
                                    </w:r>
                                  </w:p>
                                </w:sdtContent>
                              </w:sdt>
                              <w:p w:rsidR="00BD738C" w:rsidRDefault="00BD738C" w:rsidP="009B4681">
                                <w:pPr>
                                  <w:pStyle w:val="NoSpacing"/>
                                  <w:rPr>
                                    <w:color w:val="595959" w:themeColor="text1" w:themeTint="A6"/>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8" type="#_x0000_t202" style="position:absolute;margin-left:0;margin-top:557.9pt;width:8in;height:79.5pt;z-index:251661312;visibility:visible;mso-wrap-style:square;mso-width-percent:941;mso-height-percent:100;mso-wrap-distance-left:9pt;mso-wrap-distance-top:0;mso-wrap-distance-right:9pt;mso-wrap-distance-bottom:0;mso-position-horizontal:center;mso-position-horizontal-relative:margin;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tj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" filled="f" stroked="f" strokeweight=".5pt">
                    <v:textbox style="mso-fit-shape-to-text:t" inset="126pt,0,54pt,0">
                      <w:txbxContent>
                        <w:sdt>
                          <w:sdtPr>
                            <w:rPr>
                              <w:rFonts w:asciiTheme="minorHAnsi" w:eastAsiaTheme="minorEastAsia" w:hAnsiTheme="minorHAnsi" w:cstheme="minorBidi"/>
                              <w:color w:val="auto"/>
                              <w:sz w:val="20"/>
                              <w:szCs w:val="20"/>
                            </w:rPr>
                            <w:id w:val="-1800297949"/>
                            <w:docPartObj>
                              <w:docPartGallery w:val="Table of Contents"/>
                              <w:docPartUnique/>
                            </w:docPartObj>
                          </w:sdtPr>
                          <w:sdtEndPr>
                            <w:rPr>
                              <w:b/>
                              <w:bCs/>
                              <w:noProof/>
                            </w:rPr>
                          </w:sdtEndPr>
                          <w:sdtContent>
                            <w:p w:rsidR="009B4681" w:rsidRDefault="009B4681" w:rsidP="009B4681">
                              <w:pPr>
                                <w:pStyle w:val="TOCHeading"/>
                                <w:jc w:val="right"/>
                              </w:pPr>
                              <w:r>
                                <w:t>Contents</w:t>
                              </w:r>
                            </w:p>
                            <w:p w:rsidR="009B4681" w:rsidRDefault="009B4681" w:rsidP="00122C94">
                              <w:pPr>
                                <w:jc w:val="right"/>
                              </w:pPr>
                              <w:r>
                                <w:t>Introduction</w:t>
                              </w:r>
                              <w:r w:rsidR="0052059F">
                                <w:t xml:space="preserve">         </w:t>
                              </w:r>
                              <w:r>
                                <w:t>1</w:t>
                              </w:r>
                              <w:r>
                                <w:br/>
                                <w:t>How to refer</w:t>
                              </w:r>
                              <w:r>
                                <w:tab/>
                              </w:r>
                              <w:r w:rsidR="00555415">
                                <w:t>1</w:t>
                              </w:r>
                              <w:r>
                                <w:br/>
                              </w:r>
                              <w:r w:rsidR="00F05CD0">
                                <w:t>Who we see</w:t>
                              </w:r>
                              <w:r w:rsidR="00122C94">
                                <w:t xml:space="preserve">         </w:t>
                              </w:r>
                              <w:r w:rsidR="007B6B65">
                                <w:t>1</w:t>
                              </w:r>
                              <w:r w:rsidR="00122C94">
                                <w:br/>
                                <w:t>Im</w:t>
                              </w:r>
                              <w:r w:rsidR="007B6B65">
                                <w:t>p</w:t>
                              </w:r>
                              <w:r w:rsidR="00122C94">
                                <w:t>roving access</w:t>
                              </w:r>
                              <w:r w:rsidR="00122C94">
                                <w:tab/>
                                <w:t xml:space="preserve">  </w:t>
                              </w:r>
                              <w:r w:rsidR="007B6B65">
                                <w:t xml:space="preserve">   </w:t>
                              </w:r>
                              <w:r w:rsidR="00122C94">
                                <w:t xml:space="preserve">   3</w:t>
                              </w:r>
                            </w:p>
                          </w:sdtContent>
                        </w:sdt>
                        <w:p w:rsidR="00BD738C" w:rsidRDefault="00BD738C" w:rsidP="009B4681">
                          <w:pPr>
                            <w:pStyle w:val="NoSpacing"/>
                            <w:rPr>
                              <w:color w:val="595959" w:themeColor="text1" w:themeTint="A6"/>
                            </w:rPr>
                          </w:pPr>
                        </w:p>
                      </w:txbxContent>
                    </v:textbox>
                    <w10:wrap type="square" anchorx="margin" anchory="page"/>
                  </v:shape>
                </w:pict>
              </mc:Fallback>
            </mc:AlternateContent>
          </w:r>
          <w:r w:rsidR="00BD738C">
            <w:rPr>
              <w:lang w:val="en-US"/>
            </w:rPr>
            <w:br w:type="page"/>
          </w:r>
        </w:p>
      </w:sdtContent>
    </w:sdt>
    <w:p w:rsidR="00BD738C" w:rsidRDefault="00BD738C" w:rsidP="009B4681">
      <w:pPr>
        <w:pStyle w:val="Title"/>
      </w:pPr>
      <w:r>
        <w:lastRenderedPageBreak/>
        <w:t>Introduction</w:t>
      </w:r>
    </w:p>
    <w:p w:rsidR="00BD738C" w:rsidRDefault="00BD738C" w:rsidP="009B4681">
      <w:r>
        <w:t xml:space="preserve">KeepingWell NCL is now accepting referrals </w:t>
      </w:r>
      <w:r w:rsidR="00ED793E">
        <w:t>for</w:t>
      </w:r>
      <w:r>
        <w:t xml:space="preserve"> health &amp; care staff </w:t>
      </w:r>
      <w:r w:rsidR="00075B8D">
        <w:t xml:space="preserve">to be seen through our Intercultural Therapy Pathway, delivered through </w:t>
      </w:r>
      <w:r w:rsidR="00122C94">
        <w:t>Nafsiyat Intercultural Therapy Centre.</w:t>
      </w:r>
    </w:p>
    <w:p w:rsidR="00555415" w:rsidRDefault="00BD738C" w:rsidP="009B4681">
      <w:r w:rsidRPr="00BD738C">
        <w:t xml:space="preserve">Nafsiyat is </w:t>
      </w:r>
      <w:r>
        <w:t>an intercultural therapy centre</w:t>
      </w:r>
      <w:r w:rsidRPr="00BD738C">
        <w:t xml:space="preserve"> committed to providing accessible psychotherapy and counselling </w:t>
      </w:r>
      <w:r w:rsidR="00ED793E">
        <w:t>for</w:t>
      </w:r>
      <w:r w:rsidRPr="00BD738C">
        <w:t xml:space="preserve"> people from diverse religious, cultural and ethnic communities in London. </w:t>
      </w:r>
      <w:r>
        <w:t>The Nafsiyat</w:t>
      </w:r>
      <w:r w:rsidRPr="00BD738C">
        <w:t xml:space="preserve"> team is made up of experienced, fully qualified psychotherapists and counsellors from diverse backgrounds who are sensitive to the particular therapeutic needs of cultural mi</w:t>
      </w:r>
      <w:r>
        <w:t xml:space="preserve">nority groups. The centre provides </w:t>
      </w:r>
      <w:r w:rsidRPr="00BD738C">
        <w:t>short-term intercultural therapy in over 20 different languages</w:t>
      </w:r>
      <w:r>
        <w:t>.</w:t>
      </w:r>
    </w:p>
    <w:p w:rsidR="00565F41" w:rsidRPr="006A2B81" w:rsidRDefault="00565F41" w:rsidP="00565F41">
      <w:pPr>
        <w:rPr>
          <w:rFonts w:ascii="Calibri" w:eastAsia="Times New Roman" w:hAnsi="Calibri" w:cs="Calibri"/>
          <w:color w:val="000000"/>
        </w:rPr>
      </w:pPr>
      <w:r>
        <w:t xml:space="preserve">More information about KeepingWell NCL’s individual treatment pathways can be found via our website. Please visit </w:t>
      </w:r>
      <w:hyperlink r:id="rId14" w:history="1">
        <w:r w:rsidRPr="000C0A46">
          <w:rPr>
            <w:rStyle w:val="Hyperlink"/>
          </w:rPr>
          <w:t>https://keepingwellncl.nhs.uk/referrals/</w:t>
        </w:r>
      </w:hyperlink>
      <w:r>
        <w:t xml:space="preserve"> </w:t>
      </w:r>
    </w:p>
    <w:p w:rsidR="007D42AE" w:rsidRDefault="00BD738C" w:rsidP="00BD738C">
      <w:pPr>
        <w:pStyle w:val="Title"/>
        <w:rPr>
          <w:lang w:val="en-US"/>
        </w:rPr>
      </w:pPr>
      <w:r>
        <w:rPr>
          <w:lang w:val="en-US"/>
        </w:rPr>
        <w:t>How to refer</w:t>
      </w:r>
    </w:p>
    <w:p w:rsidR="00C73437" w:rsidRPr="00C73437" w:rsidRDefault="00C73437" w:rsidP="00A843A5">
      <w:pPr>
        <w:rPr>
          <w:lang w:val="en-US"/>
        </w:rPr>
      </w:pPr>
      <w:r w:rsidRPr="00C73437">
        <w:rPr>
          <w:lang w:val="en-US"/>
        </w:rPr>
        <w:t>We accept referrals from any NCL colleagues, wellbeing leads, or HR directors. We can also accept self-referrals from all health &amp; care staff in North Central London.</w:t>
      </w:r>
    </w:p>
    <w:p w:rsidR="00A843A5" w:rsidRDefault="00C73437" w:rsidP="00A843A5">
      <w:pPr>
        <w:rPr>
          <w:b/>
          <w:lang w:val="en-US"/>
        </w:rPr>
      </w:pPr>
      <w:r>
        <w:rPr>
          <w:b/>
          <w:lang w:val="en-US"/>
        </w:rPr>
        <w:t>T</w:t>
      </w:r>
      <w:r w:rsidR="00A843A5" w:rsidRPr="00555415">
        <w:rPr>
          <w:b/>
          <w:lang w:val="en-US"/>
        </w:rPr>
        <w:t xml:space="preserve">o refer a health or care staff member to this service, please </w:t>
      </w:r>
      <w:r w:rsidR="00A843A5">
        <w:rPr>
          <w:b/>
          <w:lang w:val="en-US"/>
        </w:rPr>
        <w:t>e</w:t>
      </w:r>
      <w:r w:rsidR="00A843A5" w:rsidRPr="00555415">
        <w:rPr>
          <w:b/>
          <w:lang w:val="en-US"/>
        </w:rPr>
        <w:t xml:space="preserve">mail </w:t>
      </w:r>
      <w:hyperlink r:id="rId15" w:history="1">
        <w:r w:rsidR="00A843A5" w:rsidRPr="00555415">
          <w:rPr>
            <w:rStyle w:val="Hyperlink"/>
            <w:b/>
            <w:lang w:val="en-US"/>
          </w:rPr>
          <w:t>keepingwellncl@tavi-port.nhs.uk</w:t>
        </w:r>
      </w:hyperlink>
      <w:r w:rsidR="00A843A5">
        <w:rPr>
          <w:b/>
          <w:lang w:val="en-US"/>
        </w:rPr>
        <w:t>, marking your email as ‘</w:t>
      </w:r>
      <w:r>
        <w:rPr>
          <w:b/>
          <w:lang w:val="en-US"/>
        </w:rPr>
        <w:t>Referral – Intercultural Therapy</w:t>
      </w:r>
      <w:r w:rsidR="00A843A5">
        <w:rPr>
          <w:b/>
          <w:lang w:val="en-US"/>
        </w:rPr>
        <w:t>.</w:t>
      </w:r>
    </w:p>
    <w:p w:rsidR="00C73437" w:rsidRDefault="00C73437" w:rsidP="00C73437">
      <w:pPr>
        <w:rPr>
          <w:b/>
          <w:lang w:val="en-US"/>
        </w:rPr>
      </w:pPr>
      <w:r>
        <w:rPr>
          <w:b/>
          <w:lang w:val="en-US"/>
        </w:rPr>
        <w:t xml:space="preserve">Please note that from January 2022 there will also be a live referral form available to all referrers via our website. </w:t>
      </w:r>
    </w:p>
    <w:p w:rsidR="00555415" w:rsidRDefault="00A843A5" w:rsidP="00555415">
      <w:pPr>
        <w:rPr>
          <w:lang w:val="en-US"/>
        </w:rPr>
      </w:pPr>
      <w:r>
        <w:rPr>
          <w:lang w:val="en-US"/>
        </w:rPr>
        <w:t xml:space="preserve">Should you require any advice or guidance before referring a health or care staff member to this service, the </w:t>
      </w:r>
      <w:r w:rsidR="00555415">
        <w:rPr>
          <w:lang w:val="en-US"/>
        </w:rPr>
        <w:t>Nafsiyat</w:t>
      </w:r>
      <w:r>
        <w:rPr>
          <w:lang w:val="en-US"/>
        </w:rPr>
        <w:t xml:space="preserve"> team</w:t>
      </w:r>
      <w:r w:rsidR="00555415">
        <w:rPr>
          <w:lang w:val="en-US"/>
        </w:rPr>
        <w:t xml:space="preserve"> are able to offer a brief consultation. Please email </w:t>
      </w:r>
      <w:hyperlink r:id="rId16" w:history="1">
        <w:r w:rsidR="00A56C23" w:rsidRPr="00DE0A35">
          <w:rPr>
            <w:rStyle w:val="Hyperlink"/>
            <w:lang w:val="en-US"/>
          </w:rPr>
          <w:t>keepingwellncl@tavi-port.nhs.uk</w:t>
        </w:r>
      </w:hyperlink>
      <w:r w:rsidR="00A56C23">
        <w:rPr>
          <w:lang w:val="en-US"/>
        </w:rPr>
        <w:t xml:space="preserve"> to request a consultation with a Nafsiyat practitioner.</w:t>
      </w:r>
    </w:p>
    <w:p w:rsidR="00BD738C" w:rsidRDefault="00CC27E3" w:rsidP="00BD738C">
      <w:pPr>
        <w:pStyle w:val="Title"/>
        <w:rPr>
          <w:lang w:val="en-US"/>
        </w:rPr>
      </w:pPr>
      <w:r>
        <w:rPr>
          <w:lang w:val="en-US"/>
        </w:rPr>
        <w:t>Who we see</w:t>
      </w:r>
    </w:p>
    <w:p w:rsidR="00BD738C" w:rsidRDefault="00BD738C" w:rsidP="00BD738C">
      <w:r>
        <w:t xml:space="preserve">The Nafsiyat service sees adults from Black and Ethnic Minority communities who are over 18 – </w:t>
      </w:r>
      <w:r w:rsidR="00122C94">
        <w:t>there is</w:t>
      </w:r>
      <w:r>
        <w:t xml:space="preserve"> no upper age limit. </w:t>
      </w:r>
      <w:r w:rsidR="00122C94">
        <w:t>The centre</w:t>
      </w:r>
      <w:r>
        <w:t xml:space="preserve"> provides short term </w:t>
      </w:r>
      <w:r w:rsidR="00ED793E">
        <w:t>i</w:t>
      </w:r>
      <w:r>
        <w:t xml:space="preserve">ntercultural therapy to </w:t>
      </w:r>
      <w:r w:rsidR="00ED793E">
        <w:t>anyone</w:t>
      </w:r>
      <w:r>
        <w:t xml:space="preserve"> </w:t>
      </w:r>
      <w:r w:rsidR="00ED793E">
        <w:t>with</w:t>
      </w:r>
      <w:r>
        <w:t xml:space="preserve"> anxiety disorders or moderate depression linked in some cases (especially anxiety presentations) with the experience of racism and cultural incidents.  </w:t>
      </w:r>
    </w:p>
    <w:p w:rsidR="00BD738C" w:rsidRDefault="00BD738C" w:rsidP="00BD738C">
      <w:r>
        <w:t xml:space="preserve">There are some groups not suitable for treatment at Nafsiyat. The </w:t>
      </w:r>
      <w:r w:rsidR="00CC27E3">
        <w:t>inclusion/exclusion guidelines</w:t>
      </w:r>
      <w:r>
        <w:t xml:space="preserve"> below</w:t>
      </w:r>
      <w:r w:rsidR="00CC27E3">
        <w:t>, p</w:t>
      </w:r>
      <w:r w:rsidR="00DD143B">
        <w:t>r</w:t>
      </w:r>
      <w:r w:rsidR="00CC27E3">
        <w:t>ovided by the Nafsiyat Intercultural Therapy Centre,</w:t>
      </w:r>
      <w:r>
        <w:t xml:space="preserve"> outline these criteria.</w:t>
      </w:r>
    </w:p>
    <w:p w:rsidR="00BD738C" w:rsidRDefault="00BD738C" w:rsidP="00BD738C">
      <w:pPr>
        <w:pStyle w:val="Heading2"/>
        <w:rPr>
          <w:lang w:val="en-US"/>
        </w:rPr>
      </w:pPr>
      <w:bookmarkStart w:id="0" w:name="_Toc89439807"/>
      <w:bookmarkStart w:id="1" w:name="_Toc89439842"/>
      <w:r>
        <w:rPr>
          <w:lang w:val="en-US"/>
        </w:rPr>
        <w:t xml:space="preserve">1. </w:t>
      </w:r>
      <w:r w:rsidR="009B4681">
        <w:rPr>
          <w:lang w:val="en-US"/>
        </w:rPr>
        <w:t>Nafsiyat is not the right</w:t>
      </w:r>
      <w:r>
        <w:rPr>
          <w:lang w:val="en-US"/>
        </w:rPr>
        <w:t xml:space="preserve"> service for people who:</w:t>
      </w:r>
      <w:bookmarkEnd w:id="0"/>
      <w:bookmarkEnd w:id="1"/>
    </w:p>
    <w:p w:rsidR="00BD738C" w:rsidRPr="00F100FD" w:rsidRDefault="00BD738C" w:rsidP="00BD738C">
      <w:pPr>
        <w:pStyle w:val="ListParagraph"/>
        <w:numPr>
          <w:ilvl w:val="0"/>
          <w:numId w:val="24"/>
        </w:numPr>
        <w:spacing w:after="200" w:line="276" w:lineRule="auto"/>
      </w:pPr>
      <w:r>
        <w:t>are actively suicidal or a risk to others</w:t>
      </w:r>
    </w:p>
    <w:p w:rsidR="00BD738C" w:rsidRPr="00F100FD" w:rsidRDefault="00BD738C" w:rsidP="00BD738C">
      <w:pPr>
        <w:pStyle w:val="ListParagraph"/>
        <w:numPr>
          <w:ilvl w:val="0"/>
          <w:numId w:val="24"/>
        </w:numPr>
        <w:spacing w:after="200" w:line="276" w:lineRule="auto"/>
      </w:pPr>
      <w:r>
        <w:t>have severe problems with alcohol or drug misuse</w:t>
      </w:r>
    </w:p>
    <w:p w:rsidR="00BD738C" w:rsidRPr="00F100FD" w:rsidRDefault="00BD738C" w:rsidP="00BD738C">
      <w:pPr>
        <w:pStyle w:val="ListParagraph"/>
        <w:numPr>
          <w:ilvl w:val="0"/>
          <w:numId w:val="24"/>
        </w:numPr>
        <w:spacing w:after="200" w:line="276" w:lineRule="auto"/>
      </w:pPr>
      <w:r>
        <w:t>are already under the care of other specialist mental health services</w:t>
      </w:r>
    </w:p>
    <w:p w:rsidR="00BD738C" w:rsidRPr="00F100FD" w:rsidRDefault="00122C94" w:rsidP="00BD738C">
      <w:pPr>
        <w:pStyle w:val="ListParagraph"/>
        <w:numPr>
          <w:ilvl w:val="0"/>
          <w:numId w:val="24"/>
        </w:numPr>
        <w:spacing w:after="200" w:line="276" w:lineRule="auto"/>
      </w:pPr>
      <w:r>
        <w:t>r</w:t>
      </w:r>
      <w:r w:rsidR="00BD738C">
        <w:t>equire secondary (specialist) mental health care involving a multi-disciplinary team approach. This includes people who will not engage with secondary care or are waiting to be seen.</w:t>
      </w:r>
    </w:p>
    <w:p w:rsidR="00BD738C" w:rsidRDefault="00BD738C" w:rsidP="00BD738C">
      <w:pPr>
        <w:pStyle w:val="Heading2"/>
      </w:pPr>
      <w:bookmarkStart w:id="2" w:name="_Toc89439808"/>
      <w:bookmarkStart w:id="3" w:name="_Toc89439843"/>
      <w:r>
        <w:t>2. In general, Nafsiyat will not be suitable for people with a diagnosis of psychosis</w:t>
      </w:r>
      <w:bookmarkEnd w:id="2"/>
      <w:bookmarkEnd w:id="3"/>
      <w:r>
        <w:t xml:space="preserve"> </w:t>
      </w:r>
    </w:p>
    <w:p w:rsidR="00BD738C" w:rsidRPr="00F100FD" w:rsidRDefault="00BD738C" w:rsidP="009B4681">
      <w:pPr>
        <w:spacing w:after="0" w:line="276" w:lineRule="auto"/>
      </w:pPr>
      <w:r>
        <w:t>However, under the following circumstances they may be seen at Nafsiyat:</w:t>
      </w:r>
    </w:p>
    <w:p w:rsidR="00BD738C" w:rsidRPr="009B4681" w:rsidRDefault="00BD738C" w:rsidP="00122C94">
      <w:pPr>
        <w:pStyle w:val="ListParagraph"/>
        <w:numPr>
          <w:ilvl w:val="0"/>
          <w:numId w:val="25"/>
        </w:numPr>
        <w:spacing w:after="0" w:line="276" w:lineRule="auto"/>
        <w:rPr>
          <w:sz w:val="24"/>
          <w:szCs w:val="24"/>
        </w:rPr>
      </w:pPr>
      <w:r>
        <w:t>if they are not under care-coordination</w:t>
      </w:r>
    </w:p>
    <w:p w:rsidR="00BD738C" w:rsidRPr="009B4681" w:rsidRDefault="009B4681" w:rsidP="00122C94">
      <w:pPr>
        <w:pStyle w:val="ListParagraph"/>
        <w:numPr>
          <w:ilvl w:val="0"/>
          <w:numId w:val="25"/>
        </w:numPr>
        <w:spacing w:after="0" w:line="276" w:lineRule="auto"/>
        <w:rPr>
          <w:sz w:val="24"/>
          <w:szCs w:val="24"/>
        </w:rPr>
      </w:pPr>
      <w:r>
        <w:t xml:space="preserve">if they </w:t>
      </w:r>
      <w:r w:rsidR="00BD738C">
        <w:t xml:space="preserve">are currently mentally stable and have been for some time, (i.e., they either have no residual psychotic symptoms, or any residual psychotic symptoms are stable) </w:t>
      </w:r>
    </w:p>
    <w:p w:rsidR="00BD738C" w:rsidRPr="009B4681" w:rsidRDefault="009B4681" w:rsidP="00122C94">
      <w:pPr>
        <w:pStyle w:val="ListParagraph"/>
        <w:numPr>
          <w:ilvl w:val="0"/>
          <w:numId w:val="25"/>
        </w:numPr>
        <w:spacing w:after="0" w:line="276" w:lineRule="auto"/>
        <w:rPr>
          <w:sz w:val="24"/>
          <w:szCs w:val="24"/>
        </w:rPr>
      </w:pPr>
      <w:r>
        <w:t xml:space="preserve">if </w:t>
      </w:r>
      <w:r w:rsidR="00BD738C">
        <w:t>they are depressed and wish to engage in psychological therapy focused on their depression.</w:t>
      </w:r>
    </w:p>
    <w:p w:rsidR="00BD738C" w:rsidRPr="009B4681" w:rsidRDefault="009B4681" w:rsidP="00122C94">
      <w:pPr>
        <w:pStyle w:val="ListParagraph"/>
        <w:numPr>
          <w:ilvl w:val="0"/>
          <w:numId w:val="25"/>
        </w:numPr>
        <w:spacing w:after="0" w:line="276" w:lineRule="auto"/>
        <w:rPr>
          <w:sz w:val="24"/>
          <w:szCs w:val="24"/>
        </w:rPr>
      </w:pPr>
      <w:r>
        <w:lastRenderedPageBreak/>
        <w:t>w</w:t>
      </w:r>
      <w:r w:rsidR="00BD738C">
        <w:t>here problems are related to a personality disorder or where there are significant interpersonal difficulties.</w:t>
      </w:r>
    </w:p>
    <w:p w:rsidR="00BD738C" w:rsidRPr="009B4681" w:rsidRDefault="009B4681" w:rsidP="009B4681">
      <w:pPr>
        <w:pStyle w:val="ListParagraph"/>
        <w:numPr>
          <w:ilvl w:val="0"/>
          <w:numId w:val="25"/>
        </w:numPr>
        <w:spacing w:after="200" w:line="276" w:lineRule="auto"/>
        <w:rPr>
          <w:sz w:val="24"/>
          <w:szCs w:val="24"/>
        </w:rPr>
      </w:pPr>
      <w:r>
        <w:t>If they h</w:t>
      </w:r>
      <w:r w:rsidR="00BD738C">
        <w:t>ave had several unsuccessful attempts at treatment with Nafsiyat previously (a clinical discussion with the GP may be helpful in these situations)</w:t>
      </w:r>
    </w:p>
    <w:p w:rsidR="00BD738C" w:rsidRDefault="009B4681" w:rsidP="009B4681">
      <w:pPr>
        <w:pStyle w:val="Heading2"/>
        <w:rPr>
          <w:lang w:val="en-US"/>
        </w:rPr>
      </w:pPr>
      <w:bookmarkStart w:id="4" w:name="_Toc89439809"/>
      <w:bookmarkStart w:id="5" w:name="_Toc89439844"/>
      <w:r>
        <w:rPr>
          <w:lang w:val="en-US"/>
        </w:rPr>
        <w:t xml:space="preserve">3. </w:t>
      </w:r>
      <w:r w:rsidRPr="009B4681">
        <w:rPr>
          <w:lang w:val="en-US"/>
        </w:rPr>
        <w:t>Nafsiyat will see people who have had previous treatment in the service</w:t>
      </w:r>
      <w:bookmarkEnd w:id="4"/>
      <w:bookmarkEnd w:id="5"/>
    </w:p>
    <w:p w:rsidR="009B4681" w:rsidRDefault="009B4681" w:rsidP="009B4681">
      <w:pPr>
        <w:rPr>
          <w:lang w:val="en-US"/>
        </w:rPr>
      </w:pPr>
      <w:r w:rsidRPr="009B4681">
        <w:rPr>
          <w:lang w:val="en-US"/>
        </w:rPr>
        <w:t>If people have had previous successful or partially successful treatment, then it may be appropriate to offer: a top-up intervention; treatment with a different focus (new problem) or treatment for recurrence of a previous problem.</w:t>
      </w:r>
    </w:p>
    <w:p w:rsidR="009B4681" w:rsidRDefault="009B4681" w:rsidP="009B4681">
      <w:pPr>
        <w:pStyle w:val="Heading2"/>
      </w:pPr>
      <w:bookmarkStart w:id="6" w:name="_Toc89439810"/>
      <w:bookmarkStart w:id="7" w:name="_Toc89439845"/>
      <w:r>
        <w:rPr>
          <w:lang w:val="en-US"/>
        </w:rPr>
        <w:t xml:space="preserve">4. </w:t>
      </w:r>
      <w:r>
        <w:t>Nafsiyat works with people who want to and can engage in short term psychological treatment (up to twelve sessions)</w:t>
      </w:r>
      <w:bookmarkEnd w:id="6"/>
      <w:bookmarkEnd w:id="7"/>
    </w:p>
    <w:p w:rsidR="009B4681" w:rsidRDefault="009B4681" w:rsidP="009B4681">
      <w:r>
        <w:t>Nafsiyat does not provide long term therapy and people being referred for this will not be taken on by the service.</w:t>
      </w:r>
    </w:p>
    <w:p w:rsidR="009B4681" w:rsidRDefault="009B4681" w:rsidP="009B4681">
      <w:pPr>
        <w:pStyle w:val="Heading2"/>
      </w:pPr>
      <w:bookmarkStart w:id="8" w:name="_Toc89439811"/>
      <w:bookmarkStart w:id="9" w:name="_Toc89439846"/>
      <w:r>
        <w:t>5. Nafsiyat can work with people who are motivated enough to engage with the service</w:t>
      </w:r>
      <w:bookmarkEnd w:id="8"/>
      <w:bookmarkEnd w:id="9"/>
    </w:p>
    <w:p w:rsidR="009B4681" w:rsidRDefault="009B4681" w:rsidP="009B4681">
      <w:pPr>
        <w:spacing w:after="200" w:line="276" w:lineRule="auto"/>
      </w:pPr>
      <w:r>
        <w:t>Frequent DNAs and erratic engagement will not lead to successful treatments and if that is happening people are unlikely to be able to use the service at that time, so will be discharged.</w:t>
      </w:r>
    </w:p>
    <w:p w:rsidR="00DD5F33" w:rsidRDefault="00DD5F33" w:rsidP="00DD5F33">
      <w:pPr>
        <w:pStyle w:val="Heading2"/>
      </w:pPr>
      <w:r>
        <w:rPr>
          <w:rFonts w:eastAsiaTheme="minorEastAsia"/>
        </w:rPr>
        <w:t xml:space="preserve">6. </w:t>
      </w:r>
      <w:r>
        <w:t xml:space="preserve">Nafsiyat </w:t>
      </w:r>
      <w:r w:rsidR="00075B8D">
        <w:t>can</w:t>
      </w:r>
      <w:r>
        <w:t xml:space="preserve"> work with people presenting with anxiety</w:t>
      </w:r>
    </w:p>
    <w:p w:rsidR="00DD5F33" w:rsidRDefault="00DD5F33" w:rsidP="00DD5F33">
      <w:pPr>
        <w:spacing w:after="200" w:line="276" w:lineRule="auto"/>
      </w:pPr>
      <w:r>
        <w:t>Within the context of understanding the cultural (acculturation, adjustment, and assimilation dynamics) or racial aspects of their disorder. This will be seen as part of the process of racial identity development work.</w:t>
      </w:r>
    </w:p>
    <w:p w:rsidR="00DD5F33" w:rsidRDefault="00DD5F33" w:rsidP="00DD5F33">
      <w:pPr>
        <w:pStyle w:val="Heading2"/>
      </w:pPr>
      <w:r>
        <w:rPr>
          <w:rFonts w:eastAsiaTheme="minorEastAsia"/>
        </w:rPr>
        <w:t xml:space="preserve">7. </w:t>
      </w:r>
      <w:r>
        <w:t>Nafsiyat acknowledges that clients from these communities (black and ethnic minorities) will present with disorders in part linked to systemic and structural issues</w:t>
      </w:r>
    </w:p>
    <w:p w:rsidR="00DD5F33" w:rsidRDefault="00DD5F33" w:rsidP="00DD5F33">
      <w:r>
        <w:t>Therapists will acknowledge this within the therapy and where possible facilitate referrals to appropriate agencies.</w:t>
      </w:r>
    </w:p>
    <w:p w:rsidR="00DD5F33" w:rsidRDefault="00DD5F33" w:rsidP="00DD5F33">
      <w:pPr>
        <w:pStyle w:val="Heading2"/>
      </w:pPr>
      <w:r>
        <w:t>8. Nafsiyat recognises the culturally bound nature of most disorders situated either within non-western or western cultural contexts</w:t>
      </w:r>
    </w:p>
    <w:p w:rsidR="00DD5F33" w:rsidRDefault="00DD5F33" w:rsidP="00DD5F33">
      <w:r>
        <w:t>Its approach to therapy is therefore predicated on this understanding.</w:t>
      </w:r>
    </w:p>
    <w:p w:rsidR="00555415" w:rsidRDefault="00DD5F33" w:rsidP="00DD5F33">
      <w:pPr>
        <w:pStyle w:val="Heading2"/>
      </w:pPr>
      <w:r>
        <w:t xml:space="preserve">9. </w:t>
      </w:r>
      <w:r w:rsidR="00555415">
        <w:t xml:space="preserve">Nafsiyat </w:t>
      </w:r>
      <w:r w:rsidR="00075B8D">
        <w:t>can</w:t>
      </w:r>
      <w:r w:rsidR="00555415">
        <w:t xml:space="preserve"> work with people who have mild learning disabilities or ADHD</w:t>
      </w:r>
    </w:p>
    <w:p w:rsidR="00555415" w:rsidRPr="00555415" w:rsidRDefault="00555415" w:rsidP="00555415">
      <w:r>
        <w:t>If the focus of work is depression and the person is able to engage with a short-term psychological intervention.</w:t>
      </w:r>
    </w:p>
    <w:p w:rsidR="00DD5F33" w:rsidRDefault="00555415" w:rsidP="00DD5F33">
      <w:pPr>
        <w:pStyle w:val="Heading2"/>
      </w:pPr>
      <w:r>
        <w:t xml:space="preserve">10. </w:t>
      </w:r>
      <w:r w:rsidR="00DD5F33">
        <w:t>Nafsiyat can work with harmful drinkers and/or recreational drug users presenting with depression</w:t>
      </w:r>
    </w:p>
    <w:p w:rsidR="00DD5F33" w:rsidRDefault="00122C94" w:rsidP="00DD5F33">
      <w:r>
        <w:t>I</w:t>
      </w:r>
      <w:r w:rsidR="00DD5F33">
        <w:t>f they are able to attend sessions on a regular basis and are motivated to limit their substance use (before and during the therapeutic hour). Nafsiyat is not suitable for people with severe substance misuse problems (e.g., dependent alcohol problems) where that needs to be the focus of the intervention.</w:t>
      </w:r>
    </w:p>
    <w:p w:rsidR="00122C94" w:rsidRDefault="00122C94" w:rsidP="00122C94">
      <w:pPr>
        <w:pStyle w:val="Heading2"/>
        <w:tabs>
          <w:tab w:val="left" w:pos="5459"/>
        </w:tabs>
      </w:pPr>
      <w:r>
        <w:t>10. Nafsiyat’s focus on black and ethnic minority communities may also include individuals who identify as white</w:t>
      </w:r>
    </w:p>
    <w:p w:rsidR="00122C94" w:rsidRPr="00122C94" w:rsidRDefault="00122C94" w:rsidP="00122C94">
      <w:pPr>
        <w:spacing w:after="200" w:line="276" w:lineRule="auto"/>
        <w:rPr>
          <w:sz w:val="24"/>
          <w:szCs w:val="24"/>
        </w:rPr>
      </w:pPr>
      <w:r>
        <w:t xml:space="preserve">Who present with psychological problems because of their association (in a relationship with, dual heritage children, racial incident etc) with minoritised individuals/communities. </w:t>
      </w:r>
    </w:p>
    <w:p w:rsidR="00122C94" w:rsidRDefault="00122C94" w:rsidP="00122C94">
      <w:pPr>
        <w:pStyle w:val="Heading2"/>
        <w:tabs>
          <w:tab w:val="left" w:pos="5459"/>
        </w:tabs>
      </w:pPr>
      <w:r>
        <w:lastRenderedPageBreak/>
        <w:t>11. People presenting with problems relating to anger may be seen in Nafsiyat if this is associated with depression</w:t>
      </w:r>
    </w:p>
    <w:p w:rsidR="00122C94" w:rsidRDefault="00122C94" w:rsidP="00122C94">
      <w:r w:rsidRPr="00122C94">
        <w:t>If this is not the case, they will be signposted to other services or resources dealing specifically w</w:t>
      </w:r>
      <w:r>
        <w:t xml:space="preserve">ith anger management problems. </w:t>
      </w:r>
    </w:p>
    <w:p w:rsidR="00122C94" w:rsidRDefault="00122C94" w:rsidP="00122C94">
      <w:pPr>
        <w:pStyle w:val="Heading2"/>
      </w:pPr>
      <w:r>
        <w:t>12. People who meet diagnostic criteria for an eating disorder are not seen in Nafsiyat and should be referred to specialist eating disorders services</w:t>
      </w:r>
    </w:p>
    <w:p w:rsidR="00122C94" w:rsidRDefault="00122C94" w:rsidP="00122C94">
      <w:r>
        <w:t>Nafsiyat can work with people who present with less severe eating problems in the context of depression.</w:t>
      </w:r>
    </w:p>
    <w:p w:rsidR="00122C94" w:rsidRDefault="00122C94" w:rsidP="00122C94">
      <w:pPr>
        <w:pStyle w:val="Title"/>
      </w:pPr>
      <w:r>
        <w:t>Improving access</w:t>
      </w:r>
    </w:p>
    <w:p w:rsidR="00122C94" w:rsidRPr="00F100FD" w:rsidRDefault="00122C94" w:rsidP="00122C94">
      <w:pPr>
        <w:rPr>
          <w:sz w:val="22"/>
          <w:szCs w:val="22"/>
        </w:rPr>
      </w:pPr>
      <w:r>
        <w:rPr>
          <w:sz w:val="22"/>
          <w:szCs w:val="22"/>
        </w:rPr>
        <w:t>Nafsiyat</w:t>
      </w:r>
      <w:r w:rsidRPr="00F100FD">
        <w:rPr>
          <w:sz w:val="22"/>
          <w:szCs w:val="22"/>
        </w:rPr>
        <w:t xml:space="preserve"> aim</w:t>
      </w:r>
      <w:r>
        <w:rPr>
          <w:sz w:val="22"/>
          <w:szCs w:val="22"/>
        </w:rPr>
        <w:t>s</w:t>
      </w:r>
      <w:r w:rsidRPr="00F100FD">
        <w:rPr>
          <w:sz w:val="22"/>
          <w:szCs w:val="22"/>
        </w:rPr>
        <w:t xml:space="preserve"> to improve access to psychological therapy for people who may struggle to access our services. </w:t>
      </w:r>
      <w:r>
        <w:rPr>
          <w:sz w:val="22"/>
          <w:szCs w:val="22"/>
        </w:rPr>
        <w:t>The centre does this</w:t>
      </w:r>
      <w:r w:rsidRPr="00F100FD">
        <w:rPr>
          <w:sz w:val="22"/>
          <w:szCs w:val="22"/>
        </w:rPr>
        <w:t xml:space="preserve"> by:</w:t>
      </w:r>
    </w:p>
    <w:p w:rsidR="00122C94" w:rsidRPr="00122C94" w:rsidRDefault="00122C94" w:rsidP="00122C94">
      <w:pPr>
        <w:pStyle w:val="ListParagraph"/>
        <w:numPr>
          <w:ilvl w:val="0"/>
          <w:numId w:val="27"/>
        </w:numPr>
        <w:rPr>
          <w:sz w:val="22"/>
          <w:szCs w:val="22"/>
        </w:rPr>
      </w:pPr>
      <w:r w:rsidRPr="00122C94">
        <w:rPr>
          <w:sz w:val="22"/>
          <w:szCs w:val="22"/>
        </w:rPr>
        <w:t>Offering telephone or zoom sessions</w:t>
      </w:r>
    </w:p>
    <w:p w:rsidR="00122C94" w:rsidRPr="00F05CD0" w:rsidRDefault="00122C94" w:rsidP="00122C94">
      <w:pPr>
        <w:pStyle w:val="ListParagraph"/>
        <w:numPr>
          <w:ilvl w:val="0"/>
          <w:numId w:val="27"/>
        </w:numPr>
        <w:rPr>
          <w:sz w:val="22"/>
          <w:szCs w:val="22"/>
        </w:rPr>
      </w:pPr>
      <w:r w:rsidRPr="00122C94">
        <w:rPr>
          <w:sz w:val="22"/>
          <w:szCs w:val="22"/>
        </w:rPr>
        <w:t>Our therapists are from diverse cultural and ‘racial’ communities who also speak several different languages (we do not use interpreters). Our diverse cultural and multilingual team of therapists enable some multilingual clients with basic proficiency in English to mitigate the disabling effects of their limited linguistic agency in the UK.</w:t>
      </w:r>
    </w:p>
    <w:p w:rsidR="00F05CD0" w:rsidRDefault="00F05CD0" w:rsidP="00F05CD0">
      <w:pPr>
        <w:pStyle w:val="Title"/>
      </w:pPr>
      <w:r>
        <w:t>Any questions?</w:t>
      </w:r>
    </w:p>
    <w:p w:rsidR="00F05CD0" w:rsidRPr="00F05CD0" w:rsidRDefault="00F05CD0" w:rsidP="00F05CD0">
      <w:pPr>
        <w:rPr>
          <w:b/>
        </w:rPr>
      </w:pPr>
      <w:r w:rsidRPr="00F05CD0">
        <w:rPr>
          <w:b/>
        </w:rPr>
        <w:t xml:space="preserve">Please don’t hesitate to get in touch with the </w:t>
      </w:r>
      <w:r>
        <w:rPr>
          <w:b/>
        </w:rPr>
        <w:t>Keepi</w:t>
      </w:r>
      <w:r w:rsidRPr="00F05CD0">
        <w:rPr>
          <w:b/>
        </w:rPr>
        <w:t>n</w:t>
      </w:r>
      <w:r>
        <w:rPr>
          <w:b/>
        </w:rPr>
        <w:t>g</w:t>
      </w:r>
      <w:r w:rsidRPr="00F05CD0">
        <w:rPr>
          <w:b/>
        </w:rPr>
        <w:t xml:space="preserve">Well NCL Hub by emailing us at </w:t>
      </w:r>
      <w:hyperlink r:id="rId17" w:history="1">
        <w:r w:rsidRPr="008809AF">
          <w:rPr>
            <w:rStyle w:val="Hyperlink"/>
            <w:b/>
          </w:rPr>
          <w:t>keepingwellncl@tavi-port.nhs.uk</w:t>
        </w:r>
      </w:hyperlink>
    </w:p>
    <w:p w:rsidR="00A56C23" w:rsidRDefault="00A56C23" w:rsidP="00A56C23">
      <w:pPr>
        <w:rPr>
          <w:lang w:val="en-US"/>
        </w:rPr>
      </w:pPr>
      <w:r>
        <w:rPr>
          <w:lang w:val="en-US"/>
        </w:rPr>
        <w:t xml:space="preserve">Should you require any advice or guidance before referring a health or care staff member to this service, the Nafsiyat team are able to offer a brief consultation. Please email </w:t>
      </w:r>
      <w:hyperlink r:id="rId18" w:history="1">
        <w:r w:rsidRPr="00DE0A35">
          <w:rPr>
            <w:rStyle w:val="Hyperlink"/>
            <w:lang w:val="en-US"/>
          </w:rPr>
          <w:t>keepingwellncl@tavi-port.nhs.uk</w:t>
        </w:r>
      </w:hyperlink>
      <w:r>
        <w:rPr>
          <w:lang w:val="en-US"/>
        </w:rPr>
        <w:t xml:space="preserve"> to request a consultation with a Nafsiyat practitioner.</w:t>
      </w:r>
    </w:p>
    <w:p w:rsidR="00F05CD0" w:rsidRDefault="00F05CD0" w:rsidP="00F05CD0">
      <w:bookmarkStart w:id="10" w:name="_GoBack"/>
      <w:bookmarkEnd w:id="10"/>
    </w:p>
    <w:p w:rsidR="00DD5F33" w:rsidRPr="00DD5F33" w:rsidRDefault="00DD5F33" w:rsidP="00DD5F33"/>
    <w:p w:rsidR="009B4681" w:rsidRPr="009B4681" w:rsidRDefault="009B4681" w:rsidP="009B4681"/>
    <w:sectPr w:rsidR="009B4681" w:rsidRPr="009B4681" w:rsidSect="00BD738C">
      <w:headerReference w:type="default" r:id="rId19"/>
      <w:footerReference w:type="default" r:id="rId20"/>
      <w:pgSz w:w="11906" w:h="16838"/>
      <w:pgMar w:top="1440" w:right="1440" w:bottom="1440" w:left="1440" w:header="708" w:footer="17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38C" w:rsidRDefault="00BD738C" w:rsidP="004D7D1D">
      <w:r>
        <w:separator/>
      </w:r>
    </w:p>
  </w:endnote>
  <w:endnote w:type="continuationSeparator" w:id="0">
    <w:p w:rsidR="00BD738C" w:rsidRDefault="00BD738C" w:rsidP="004D7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682700"/>
      <w:docPartObj>
        <w:docPartGallery w:val="Page Numbers (Bottom of Page)"/>
        <w:docPartUnique/>
      </w:docPartObj>
    </w:sdtPr>
    <w:sdtEndPr>
      <w:rPr>
        <w:noProof/>
      </w:rPr>
    </w:sdtEndPr>
    <w:sdtContent>
      <w:p w:rsidR="00555415" w:rsidRDefault="00555415">
        <w:pPr>
          <w:pStyle w:val="Footer"/>
          <w:jc w:val="right"/>
        </w:pPr>
        <w:r>
          <w:rPr>
            <w:caps/>
            <w:noProof/>
            <w:color w:val="159345" w:themeColor="accent1"/>
            <w:lang w:eastAsia="en-GB"/>
          </w:rPr>
          <w:drawing>
            <wp:anchor distT="0" distB="0" distL="114300" distR="114300" simplePos="0" relativeHeight="251661312" behindDoc="0" locked="0" layoutInCell="1" allowOverlap="1" wp14:anchorId="61ACFC08" wp14:editId="444DBAFD">
              <wp:simplePos x="0" y="0"/>
              <wp:positionH relativeFrom="column">
                <wp:posOffset>-392283</wp:posOffset>
              </wp:positionH>
              <wp:positionV relativeFrom="paragraph">
                <wp:posOffset>-179070</wp:posOffset>
              </wp:positionV>
              <wp:extent cx="1495425" cy="403225"/>
              <wp:effectExtent l="0" t="0" r="9525" b="0"/>
              <wp:wrapNone/>
              <wp:docPr id="1026" name="Picture 2" descr="Image result for north london part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north london partners"/>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03225"/>
                      </a:xfrm>
                      <a:prstGeom prst="rect">
                        <a:avLst/>
                      </a:prstGeom>
                      <a:noFill/>
                      <a:extLst/>
                    </pic:spPr>
                  </pic:pic>
                </a:graphicData>
              </a:graphic>
            </wp:anchor>
          </w:drawing>
        </w:r>
        <w:r>
          <w:fldChar w:fldCharType="begin"/>
        </w:r>
        <w:r>
          <w:instrText xml:space="preserve"> PAGE   \* MERGEFORMAT </w:instrText>
        </w:r>
        <w:r>
          <w:fldChar w:fldCharType="separate"/>
        </w:r>
        <w:r w:rsidR="00A56C23">
          <w:rPr>
            <w:noProof/>
          </w:rPr>
          <w:t>2</w:t>
        </w:r>
        <w:r>
          <w:rPr>
            <w:noProof/>
          </w:rPr>
          <w:fldChar w:fldCharType="end"/>
        </w:r>
      </w:p>
    </w:sdtContent>
  </w:sdt>
  <w:p w:rsidR="004D7D1D" w:rsidRPr="004D7D1D" w:rsidRDefault="004D7D1D">
    <w:pPr>
      <w:pStyle w:val="Footer"/>
      <w:rPr>
        <w:caps/>
        <w:noProof/>
        <w:color w:val="159345" w:themeColor="accen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38C" w:rsidRDefault="00BD738C" w:rsidP="004D7D1D">
      <w:r>
        <w:separator/>
      </w:r>
    </w:p>
  </w:footnote>
  <w:footnote w:type="continuationSeparator" w:id="0">
    <w:p w:rsidR="00BD738C" w:rsidRDefault="00BD738C" w:rsidP="004D7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D1D" w:rsidRDefault="0026545B">
    <w:pPr>
      <w:pStyle w:val="Header"/>
    </w:pPr>
    <w:r>
      <w:rPr>
        <w:noProof/>
        <w:lang w:eastAsia="en-GB"/>
      </w:rPr>
      <w:drawing>
        <wp:anchor distT="0" distB="0" distL="114300" distR="114300" simplePos="0" relativeHeight="251659264" behindDoc="0" locked="0" layoutInCell="1" allowOverlap="1">
          <wp:simplePos x="0" y="0"/>
          <wp:positionH relativeFrom="column">
            <wp:posOffset>5010150</wp:posOffset>
          </wp:positionH>
          <wp:positionV relativeFrom="paragraph">
            <wp:posOffset>-306705</wp:posOffset>
          </wp:positionV>
          <wp:extent cx="1318895" cy="6578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895" cy="6578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3BF7"/>
    <w:multiLevelType w:val="hybridMultilevel"/>
    <w:tmpl w:val="82346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6D3087"/>
    <w:multiLevelType w:val="hybridMultilevel"/>
    <w:tmpl w:val="E8C46F9E"/>
    <w:lvl w:ilvl="0" w:tplc="8AB6E6A8">
      <w:start w:val="1"/>
      <w:numFmt w:val="bullet"/>
      <w:lvlText w:val=""/>
      <w:lvlJc w:val="left"/>
      <w:pPr>
        <w:ind w:left="360" w:hanging="360"/>
      </w:pPr>
      <w:rPr>
        <w:rFonts w:ascii="Symbol" w:hAnsi="Symbol" w:hint="default"/>
      </w:rPr>
    </w:lvl>
    <w:lvl w:ilvl="1" w:tplc="68168DDC" w:tentative="1">
      <w:start w:val="1"/>
      <w:numFmt w:val="bullet"/>
      <w:lvlText w:val="o"/>
      <w:lvlJc w:val="left"/>
      <w:pPr>
        <w:ind w:left="1080" w:hanging="360"/>
      </w:pPr>
      <w:rPr>
        <w:rFonts w:ascii="Courier New" w:hAnsi="Courier New" w:hint="default"/>
      </w:rPr>
    </w:lvl>
    <w:lvl w:ilvl="2" w:tplc="93D27AC8" w:tentative="1">
      <w:start w:val="1"/>
      <w:numFmt w:val="bullet"/>
      <w:lvlText w:val=""/>
      <w:lvlJc w:val="left"/>
      <w:pPr>
        <w:ind w:left="1800" w:hanging="360"/>
      </w:pPr>
      <w:rPr>
        <w:rFonts w:ascii="Wingdings" w:hAnsi="Wingdings" w:hint="default"/>
      </w:rPr>
    </w:lvl>
    <w:lvl w:ilvl="3" w:tplc="D520D59E" w:tentative="1">
      <w:start w:val="1"/>
      <w:numFmt w:val="bullet"/>
      <w:lvlText w:val=""/>
      <w:lvlJc w:val="left"/>
      <w:pPr>
        <w:ind w:left="2520" w:hanging="360"/>
      </w:pPr>
      <w:rPr>
        <w:rFonts w:ascii="Symbol" w:hAnsi="Symbol" w:hint="default"/>
      </w:rPr>
    </w:lvl>
    <w:lvl w:ilvl="4" w:tplc="AE5A4844" w:tentative="1">
      <w:start w:val="1"/>
      <w:numFmt w:val="bullet"/>
      <w:lvlText w:val="o"/>
      <w:lvlJc w:val="left"/>
      <w:pPr>
        <w:ind w:left="3240" w:hanging="360"/>
      </w:pPr>
      <w:rPr>
        <w:rFonts w:ascii="Courier New" w:hAnsi="Courier New" w:hint="default"/>
      </w:rPr>
    </w:lvl>
    <w:lvl w:ilvl="5" w:tplc="E1AC0CE4" w:tentative="1">
      <w:start w:val="1"/>
      <w:numFmt w:val="bullet"/>
      <w:lvlText w:val=""/>
      <w:lvlJc w:val="left"/>
      <w:pPr>
        <w:ind w:left="3960" w:hanging="360"/>
      </w:pPr>
      <w:rPr>
        <w:rFonts w:ascii="Wingdings" w:hAnsi="Wingdings" w:hint="default"/>
      </w:rPr>
    </w:lvl>
    <w:lvl w:ilvl="6" w:tplc="F50A41CE" w:tentative="1">
      <w:start w:val="1"/>
      <w:numFmt w:val="bullet"/>
      <w:lvlText w:val=""/>
      <w:lvlJc w:val="left"/>
      <w:pPr>
        <w:ind w:left="4680" w:hanging="360"/>
      </w:pPr>
      <w:rPr>
        <w:rFonts w:ascii="Symbol" w:hAnsi="Symbol" w:hint="default"/>
      </w:rPr>
    </w:lvl>
    <w:lvl w:ilvl="7" w:tplc="E2BA785E" w:tentative="1">
      <w:start w:val="1"/>
      <w:numFmt w:val="bullet"/>
      <w:lvlText w:val="o"/>
      <w:lvlJc w:val="left"/>
      <w:pPr>
        <w:ind w:left="5400" w:hanging="360"/>
      </w:pPr>
      <w:rPr>
        <w:rFonts w:ascii="Courier New" w:hAnsi="Courier New" w:hint="default"/>
      </w:rPr>
    </w:lvl>
    <w:lvl w:ilvl="8" w:tplc="3B744B8A" w:tentative="1">
      <w:start w:val="1"/>
      <w:numFmt w:val="bullet"/>
      <w:lvlText w:val=""/>
      <w:lvlJc w:val="left"/>
      <w:pPr>
        <w:ind w:left="6120" w:hanging="360"/>
      </w:pPr>
      <w:rPr>
        <w:rFonts w:ascii="Wingdings" w:hAnsi="Wingdings" w:hint="default"/>
      </w:rPr>
    </w:lvl>
  </w:abstractNum>
  <w:abstractNum w:abstractNumId="2" w15:restartNumberingAfterBreak="0">
    <w:nsid w:val="0A5754D7"/>
    <w:multiLevelType w:val="hybridMultilevel"/>
    <w:tmpl w:val="F31C2D8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82775B"/>
    <w:multiLevelType w:val="multilevel"/>
    <w:tmpl w:val="2766F3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2321062"/>
    <w:multiLevelType w:val="hybridMultilevel"/>
    <w:tmpl w:val="493C11B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2E5077C1"/>
    <w:multiLevelType w:val="hybridMultilevel"/>
    <w:tmpl w:val="03588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D57AC3"/>
    <w:multiLevelType w:val="hybridMultilevel"/>
    <w:tmpl w:val="31F4E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E94684"/>
    <w:multiLevelType w:val="hybridMultilevel"/>
    <w:tmpl w:val="D862BF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4C16DA"/>
    <w:multiLevelType w:val="hybridMultilevel"/>
    <w:tmpl w:val="C2B678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6A6844"/>
    <w:multiLevelType w:val="hybridMultilevel"/>
    <w:tmpl w:val="357E9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D66F3B"/>
    <w:multiLevelType w:val="hybridMultilevel"/>
    <w:tmpl w:val="0BE83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5909B0"/>
    <w:multiLevelType w:val="hybridMultilevel"/>
    <w:tmpl w:val="4ECC7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58D1792"/>
    <w:multiLevelType w:val="hybridMultilevel"/>
    <w:tmpl w:val="E6C47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A63FFF"/>
    <w:multiLevelType w:val="hybridMultilevel"/>
    <w:tmpl w:val="96D27892"/>
    <w:lvl w:ilvl="0" w:tplc="D8220A60">
      <w:start w:val="1"/>
      <w:numFmt w:val="bullet"/>
      <w:lvlText w:val=""/>
      <w:lvlJc w:val="left"/>
      <w:pPr>
        <w:ind w:left="720" w:hanging="360"/>
      </w:pPr>
      <w:rPr>
        <w:rFonts w:ascii="Symbol" w:hAnsi="Symbol" w:hint="default"/>
      </w:rPr>
    </w:lvl>
    <w:lvl w:ilvl="1" w:tplc="5108F7AE">
      <w:start w:val="1"/>
      <w:numFmt w:val="bullet"/>
      <w:lvlText w:val="o"/>
      <w:lvlJc w:val="left"/>
      <w:pPr>
        <w:ind w:left="1440" w:hanging="360"/>
      </w:pPr>
      <w:rPr>
        <w:rFonts w:ascii="Courier New" w:hAnsi="Courier New" w:hint="default"/>
      </w:rPr>
    </w:lvl>
    <w:lvl w:ilvl="2" w:tplc="6D747122">
      <w:start w:val="1"/>
      <w:numFmt w:val="bullet"/>
      <w:lvlText w:val=""/>
      <w:lvlJc w:val="left"/>
      <w:pPr>
        <w:ind w:left="2160" w:hanging="360"/>
      </w:pPr>
      <w:rPr>
        <w:rFonts w:ascii="Wingdings" w:hAnsi="Wingdings" w:hint="default"/>
      </w:rPr>
    </w:lvl>
    <w:lvl w:ilvl="3" w:tplc="805826C2">
      <w:start w:val="1"/>
      <w:numFmt w:val="bullet"/>
      <w:lvlText w:val=""/>
      <w:lvlJc w:val="left"/>
      <w:pPr>
        <w:ind w:left="2880" w:hanging="360"/>
      </w:pPr>
      <w:rPr>
        <w:rFonts w:ascii="Symbol" w:hAnsi="Symbol" w:hint="default"/>
      </w:rPr>
    </w:lvl>
    <w:lvl w:ilvl="4" w:tplc="5A4C8CC8">
      <w:start w:val="1"/>
      <w:numFmt w:val="bullet"/>
      <w:lvlText w:val="o"/>
      <w:lvlJc w:val="left"/>
      <w:pPr>
        <w:ind w:left="3600" w:hanging="360"/>
      </w:pPr>
      <w:rPr>
        <w:rFonts w:ascii="Courier New" w:hAnsi="Courier New" w:hint="default"/>
      </w:rPr>
    </w:lvl>
    <w:lvl w:ilvl="5" w:tplc="4BB4C1DE">
      <w:start w:val="1"/>
      <w:numFmt w:val="bullet"/>
      <w:lvlText w:val=""/>
      <w:lvlJc w:val="left"/>
      <w:pPr>
        <w:ind w:left="4320" w:hanging="360"/>
      </w:pPr>
      <w:rPr>
        <w:rFonts w:ascii="Wingdings" w:hAnsi="Wingdings" w:hint="default"/>
      </w:rPr>
    </w:lvl>
    <w:lvl w:ilvl="6" w:tplc="DDCC94C6">
      <w:start w:val="1"/>
      <w:numFmt w:val="bullet"/>
      <w:lvlText w:val=""/>
      <w:lvlJc w:val="left"/>
      <w:pPr>
        <w:ind w:left="5040" w:hanging="360"/>
      </w:pPr>
      <w:rPr>
        <w:rFonts w:ascii="Symbol" w:hAnsi="Symbol" w:hint="default"/>
      </w:rPr>
    </w:lvl>
    <w:lvl w:ilvl="7" w:tplc="196EEDE0">
      <w:start w:val="1"/>
      <w:numFmt w:val="bullet"/>
      <w:lvlText w:val="o"/>
      <w:lvlJc w:val="left"/>
      <w:pPr>
        <w:ind w:left="5760" w:hanging="360"/>
      </w:pPr>
      <w:rPr>
        <w:rFonts w:ascii="Courier New" w:hAnsi="Courier New" w:hint="default"/>
      </w:rPr>
    </w:lvl>
    <w:lvl w:ilvl="8" w:tplc="6B8C6578">
      <w:start w:val="1"/>
      <w:numFmt w:val="bullet"/>
      <w:lvlText w:val=""/>
      <w:lvlJc w:val="left"/>
      <w:pPr>
        <w:ind w:left="6480" w:hanging="360"/>
      </w:pPr>
      <w:rPr>
        <w:rFonts w:ascii="Wingdings" w:hAnsi="Wingdings" w:hint="default"/>
      </w:rPr>
    </w:lvl>
  </w:abstractNum>
  <w:abstractNum w:abstractNumId="14" w15:restartNumberingAfterBreak="0">
    <w:nsid w:val="74565438"/>
    <w:multiLevelType w:val="hybridMultilevel"/>
    <w:tmpl w:val="5EB8109E"/>
    <w:lvl w:ilvl="0" w:tplc="025E39F2">
      <w:start w:val="1"/>
      <w:numFmt w:val="decimal"/>
      <w:lvlText w:val="%1."/>
      <w:lvlJc w:val="left"/>
      <w:pPr>
        <w:ind w:left="720" w:hanging="360"/>
      </w:pPr>
    </w:lvl>
    <w:lvl w:ilvl="1" w:tplc="57769FF4">
      <w:start w:val="1"/>
      <w:numFmt w:val="lowerLetter"/>
      <w:lvlText w:val="%2."/>
      <w:lvlJc w:val="left"/>
      <w:pPr>
        <w:ind w:left="1440" w:hanging="360"/>
      </w:pPr>
    </w:lvl>
    <w:lvl w:ilvl="2" w:tplc="E69A23BC">
      <w:start w:val="1"/>
      <w:numFmt w:val="lowerRoman"/>
      <w:lvlText w:val="%3."/>
      <w:lvlJc w:val="right"/>
      <w:pPr>
        <w:ind w:left="2160" w:hanging="180"/>
      </w:pPr>
    </w:lvl>
    <w:lvl w:ilvl="3" w:tplc="2FD6AAA8">
      <w:start w:val="1"/>
      <w:numFmt w:val="decimal"/>
      <w:lvlText w:val="%4."/>
      <w:lvlJc w:val="left"/>
      <w:pPr>
        <w:ind w:left="2880" w:hanging="360"/>
      </w:pPr>
    </w:lvl>
    <w:lvl w:ilvl="4" w:tplc="85B4BDA6">
      <w:start w:val="1"/>
      <w:numFmt w:val="lowerLetter"/>
      <w:lvlText w:val="%5."/>
      <w:lvlJc w:val="left"/>
      <w:pPr>
        <w:ind w:left="3600" w:hanging="360"/>
      </w:pPr>
    </w:lvl>
    <w:lvl w:ilvl="5" w:tplc="2F542308">
      <w:start w:val="1"/>
      <w:numFmt w:val="lowerRoman"/>
      <w:lvlText w:val="%6."/>
      <w:lvlJc w:val="right"/>
      <w:pPr>
        <w:ind w:left="4320" w:hanging="180"/>
      </w:pPr>
    </w:lvl>
    <w:lvl w:ilvl="6" w:tplc="4566CC3A">
      <w:start w:val="1"/>
      <w:numFmt w:val="decimal"/>
      <w:lvlText w:val="%7."/>
      <w:lvlJc w:val="left"/>
      <w:pPr>
        <w:ind w:left="5040" w:hanging="360"/>
      </w:pPr>
    </w:lvl>
    <w:lvl w:ilvl="7" w:tplc="6E682D18">
      <w:start w:val="1"/>
      <w:numFmt w:val="lowerLetter"/>
      <w:lvlText w:val="%8."/>
      <w:lvlJc w:val="left"/>
      <w:pPr>
        <w:ind w:left="5760" w:hanging="360"/>
      </w:pPr>
    </w:lvl>
    <w:lvl w:ilvl="8" w:tplc="5CB4D24C">
      <w:start w:val="1"/>
      <w:numFmt w:val="lowerRoman"/>
      <w:lvlText w:val="%9."/>
      <w:lvlJc w:val="right"/>
      <w:pPr>
        <w:ind w:left="6480" w:hanging="180"/>
      </w:pPr>
    </w:lvl>
  </w:abstractNum>
  <w:abstractNum w:abstractNumId="15" w15:restartNumberingAfterBreak="0">
    <w:nsid w:val="76FB4DBB"/>
    <w:multiLevelType w:val="hybridMultilevel"/>
    <w:tmpl w:val="AB209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9C426A2"/>
    <w:multiLevelType w:val="hybridMultilevel"/>
    <w:tmpl w:val="880EE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60018E"/>
    <w:multiLevelType w:val="hybridMultilevel"/>
    <w:tmpl w:val="B614C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15"/>
  </w:num>
  <w:num w:numId="5">
    <w:abstractNumId w:val="17"/>
  </w:num>
  <w:num w:numId="6">
    <w:abstractNumId w:val="10"/>
  </w:num>
  <w:num w:numId="7">
    <w:abstractNumId w:val="11"/>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9"/>
  </w:num>
  <w:num w:numId="19">
    <w:abstractNumId w:val="6"/>
  </w:num>
  <w:num w:numId="20">
    <w:abstractNumId w:val="13"/>
  </w:num>
  <w:num w:numId="21">
    <w:abstractNumId w:val="14"/>
  </w:num>
  <w:num w:numId="22">
    <w:abstractNumId w:val="1"/>
  </w:num>
  <w:num w:numId="23">
    <w:abstractNumId w:val="4"/>
  </w:num>
  <w:num w:numId="24">
    <w:abstractNumId w:val="12"/>
  </w:num>
  <w:num w:numId="25">
    <w:abstractNumId w:val="16"/>
  </w:num>
  <w:num w:numId="26">
    <w:abstractNumId w:val="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38C"/>
    <w:rsid w:val="00074F2B"/>
    <w:rsid w:val="00075B8D"/>
    <w:rsid w:val="000D0307"/>
    <w:rsid w:val="00104046"/>
    <w:rsid w:val="00122C94"/>
    <w:rsid w:val="00171443"/>
    <w:rsid w:val="0026545B"/>
    <w:rsid w:val="002A3F55"/>
    <w:rsid w:val="00303FE1"/>
    <w:rsid w:val="0032435D"/>
    <w:rsid w:val="00450BFA"/>
    <w:rsid w:val="00482EBD"/>
    <w:rsid w:val="004864E3"/>
    <w:rsid w:val="004D7D1D"/>
    <w:rsid w:val="004E5D1C"/>
    <w:rsid w:val="0052059F"/>
    <w:rsid w:val="00555415"/>
    <w:rsid w:val="00565F41"/>
    <w:rsid w:val="005911B3"/>
    <w:rsid w:val="005E109B"/>
    <w:rsid w:val="007A2FD0"/>
    <w:rsid w:val="007B6B65"/>
    <w:rsid w:val="007D42AE"/>
    <w:rsid w:val="008013E3"/>
    <w:rsid w:val="00852CEC"/>
    <w:rsid w:val="009B4681"/>
    <w:rsid w:val="00A56C23"/>
    <w:rsid w:val="00A843A5"/>
    <w:rsid w:val="00A86FC2"/>
    <w:rsid w:val="00AE4845"/>
    <w:rsid w:val="00B00461"/>
    <w:rsid w:val="00B51CB4"/>
    <w:rsid w:val="00B76094"/>
    <w:rsid w:val="00B76C7C"/>
    <w:rsid w:val="00BD738C"/>
    <w:rsid w:val="00C15B19"/>
    <w:rsid w:val="00C73437"/>
    <w:rsid w:val="00CC27E3"/>
    <w:rsid w:val="00DD143B"/>
    <w:rsid w:val="00DD5836"/>
    <w:rsid w:val="00DD5F33"/>
    <w:rsid w:val="00E152CD"/>
    <w:rsid w:val="00E857BC"/>
    <w:rsid w:val="00ED4A83"/>
    <w:rsid w:val="00ED793E"/>
    <w:rsid w:val="00F05CD0"/>
    <w:rsid w:val="00F70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DA517AE4-2461-4AC5-9CF7-C7D3DAB96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38C"/>
  </w:style>
  <w:style w:type="paragraph" w:styleId="Heading1">
    <w:name w:val="heading 1"/>
    <w:basedOn w:val="Normal"/>
    <w:next w:val="Normal"/>
    <w:link w:val="Heading1Char"/>
    <w:uiPriority w:val="9"/>
    <w:qFormat/>
    <w:rsid w:val="00BD738C"/>
    <w:pPr>
      <w:keepNext/>
      <w:keepLines/>
      <w:spacing w:before="320" w:after="0" w:line="240" w:lineRule="auto"/>
      <w:outlineLvl w:val="0"/>
    </w:pPr>
    <w:rPr>
      <w:rFonts w:asciiTheme="majorHAnsi" w:eastAsiaTheme="majorEastAsia" w:hAnsiTheme="majorHAnsi" w:cstheme="majorBidi"/>
      <w:color w:val="0F6D33" w:themeColor="accent1" w:themeShade="BF"/>
      <w:sz w:val="32"/>
      <w:szCs w:val="32"/>
    </w:rPr>
  </w:style>
  <w:style w:type="paragraph" w:styleId="Heading2">
    <w:name w:val="heading 2"/>
    <w:basedOn w:val="Normal"/>
    <w:next w:val="Normal"/>
    <w:link w:val="Heading2Char"/>
    <w:uiPriority w:val="9"/>
    <w:unhideWhenUsed/>
    <w:qFormat/>
    <w:rsid w:val="00BD738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D738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BD738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D738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BD738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D738C"/>
    <w:pPr>
      <w:keepNext/>
      <w:keepLines/>
      <w:spacing w:before="40" w:after="0"/>
      <w:outlineLvl w:val="6"/>
    </w:pPr>
    <w:rPr>
      <w:rFonts w:asciiTheme="majorHAnsi" w:eastAsiaTheme="majorEastAsia" w:hAnsiTheme="majorHAnsi" w:cstheme="majorBidi"/>
      <w:i/>
      <w:iCs/>
      <w:color w:val="0A4922" w:themeColor="accent1" w:themeShade="80"/>
      <w:sz w:val="21"/>
      <w:szCs w:val="21"/>
    </w:rPr>
  </w:style>
  <w:style w:type="paragraph" w:styleId="Heading8">
    <w:name w:val="heading 8"/>
    <w:basedOn w:val="Normal"/>
    <w:next w:val="Normal"/>
    <w:link w:val="Heading8Char"/>
    <w:uiPriority w:val="9"/>
    <w:semiHidden/>
    <w:unhideWhenUsed/>
    <w:qFormat/>
    <w:rsid w:val="00BD738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D738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1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2AE"/>
    <w:pPr>
      <w:ind w:left="720"/>
      <w:contextualSpacing/>
    </w:pPr>
  </w:style>
  <w:style w:type="table" w:styleId="GridTable1Light-Accent5">
    <w:name w:val="Grid Table 1 Light Accent 5"/>
    <w:basedOn w:val="TableNormal"/>
    <w:uiPriority w:val="46"/>
    <w:rsid w:val="005E109B"/>
    <w:pPr>
      <w:spacing w:after="0" w:line="240" w:lineRule="auto"/>
    </w:pPr>
    <w:tblPr>
      <w:tblStyleRowBandSize w:val="1"/>
      <w:tblStyleColBandSize w:val="1"/>
      <w:tblBorders>
        <w:top w:val="single" w:sz="4" w:space="0" w:color="C5E0B3" w:themeColor="accent5" w:themeTint="66"/>
        <w:left w:val="single" w:sz="4" w:space="0" w:color="C5E0B3" w:themeColor="accent5" w:themeTint="66"/>
        <w:bottom w:val="single" w:sz="4" w:space="0" w:color="C5E0B3" w:themeColor="accent5" w:themeTint="66"/>
        <w:right w:val="single" w:sz="4" w:space="0" w:color="C5E0B3" w:themeColor="accent5" w:themeTint="66"/>
        <w:insideH w:val="single" w:sz="4" w:space="0" w:color="C5E0B3" w:themeColor="accent5" w:themeTint="66"/>
        <w:insideV w:val="single" w:sz="4" w:space="0" w:color="C5E0B3" w:themeColor="accent5" w:themeTint="66"/>
      </w:tblBorders>
    </w:tblPr>
    <w:tblStylePr w:type="firstRow">
      <w:rPr>
        <w:b/>
        <w:bCs/>
      </w:rPr>
      <w:tblPr/>
      <w:tcPr>
        <w:tcBorders>
          <w:bottom w:val="single" w:sz="12" w:space="0" w:color="A8D08D" w:themeColor="accent5" w:themeTint="99"/>
        </w:tcBorders>
      </w:tcPr>
    </w:tblStylePr>
    <w:tblStylePr w:type="lastRow">
      <w:rPr>
        <w:b/>
        <w:bCs/>
      </w:rPr>
      <w:tblPr/>
      <w:tcPr>
        <w:tcBorders>
          <w:top w:val="double" w:sz="2" w:space="0" w:color="A8D08D"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4D7D1D"/>
    <w:pPr>
      <w:tabs>
        <w:tab w:val="center" w:pos="4513"/>
        <w:tab w:val="right" w:pos="9026"/>
      </w:tabs>
    </w:pPr>
  </w:style>
  <w:style w:type="character" w:customStyle="1" w:styleId="HeaderChar">
    <w:name w:val="Header Char"/>
    <w:basedOn w:val="DefaultParagraphFont"/>
    <w:link w:val="Header"/>
    <w:uiPriority w:val="99"/>
    <w:rsid w:val="004D7D1D"/>
    <w:rPr>
      <w:rFonts w:ascii="Arial" w:eastAsiaTheme="minorEastAsia" w:hAnsi="Arial" w:cs="Arial"/>
      <w:szCs w:val="24"/>
    </w:rPr>
  </w:style>
  <w:style w:type="paragraph" w:styleId="Footer">
    <w:name w:val="footer"/>
    <w:basedOn w:val="Normal"/>
    <w:link w:val="FooterChar"/>
    <w:uiPriority w:val="99"/>
    <w:unhideWhenUsed/>
    <w:rsid w:val="004D7D1D"/>
    <w:pPr>
      <w:tabs>
        <w:tab w:val="center" w:pos="4513"/>
        <w:tab w:val="right" w:pos="9026"/>
      </w:tabs>
    </w:pPr>
  </w:style>
  <w:style w:type="character" w:customStyle="1" w:styleId="FooterChar">
    <w:name w:val="Footer Char"/>
    <w:basedOn w:val="DefaultParagraphFont"/>
    <w:link w:val="Footer"/>
    <w:uiPriority w:val="99"/>
    <w:rsid w:val="004D7D1D"/>
    <w:rPr>
      <w:rFonts w:ascii="Arial" w:eastAsiaTheme="minorEastAsia" w:hAnsi="Arial" w:cs="Arial"/>
      <w:szCs w:val="24"/>
    </w:rPr>
  </w:style>
  <w:style w:type="paragraph" w:styleId="Title">
    <w:name w:val="Title"/>
    <w:basedOn w:val="Normal"/>
    <w:next w:val="Normal"/>
    <w:link w:val="TitleChar"/>
    <w:uiPriority w:val="10"/>
    <w:qFormat/>
    <w:rsid w:val="00BD738C"/>
    <w:pPr>
      <w:spacing w:after="0" w:line="240" w:lineRule="auto"/>
      <w:contextualSpacing/>
    </w:pPr>
    <w:rPr>
      <w:rFonts w:asciiTheme="majorHAnsi" w:eastAsiaTheme="majorEastAsia" w:hAnsiTheme="majorHAnsi" w:cstheme="majorBidi"/>
      <w:color w:val="159345" w:themeColor="accent1"/>
      <w:spacing w:val="-10"/>
      <w:sz w:val="56"/>
      <w:szCs w:val="56"/>
    </w:rPr>
  </w:style>
  <w:style w:type="character" w:customStyle="1" w:styleId="TitleChar">
    <w:name w:val="Title Char"/>
    <w:basedOn w:val="DefaultParagraphFont"/>
    <w:link w:val="Title"/>
    <w:uiPriority w:val="10"/>
    <w:rsid w:val="00BD738C"/>
    <w:rPr>
      <w:rFonts w:asciiTheme="majorHAnsi" w:eastAsiaTheme="majorEastAsia" w:hAnsiTheme="majorHAnsi" w:cstheme="majorBidi"/>
      <w:color w:val="159345" w:themeColor="accent1"/>
      <w:spacing w:val="-10"/>
      <w:sz w:val="56"/>
      <w:szCs w:val="56"/>
    </w:rPr>
  </w:style>
  <w:style w:type="character" w:customStyle="1" w:styleId="Heading2Char">
    <w:name w:val="Heading 2 Char"/>
    <w:basedOn w:val="DefaultParagraphFont"/>
    <w:link w:val="Heading2"/>
    <w:uiPriority w:val="9"/>
    <w:rsid w:val="00BD738C"/>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BD738C"/>
    <w:rPr>
      <w:rFonts w:asciiTheme="majorHAnsi" w:eastAsiaTheme="majorEastAsia" w:hAnsiTheme="majorHAnsi" w:cstheme="majorBidi"/>
      <w:color w:val="0F6D33" w:themeColor="accent1" w:themeShade="BF"/>
      <w:sz w:val="32"/>
      <w:szCs w:val="32"/>
    </w:rPr>
  </w:style>
  <w:style w:type="paragraph" w:styleId="NoSpacing">
    <w:name w:val="No Spacing"/>
    <w:link w:val="NoSpacingChar"/>
    <w:uiPriority w:val="1"/>
    <w:qFormat/>
    <w:rsid w:val="00BD738C"/>
    <w:pPr>
      <w:spacing w:after="0" w:line="240" w:lineRule="auto"/>
    </w:pPr>
  </w:style>
  <w:style w:type="character" w:customStyle="1" w:styleId="Heading3Char">
    <w:name w:val="Heading 3 Char"/>
    <w:basedOn w:val="DefaultParagraphFont"/>
    <w:link w:val="Heading3"/>
    <w:uiPriority w:val="9"/>
    <w:rsid w:val="00BD738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BD738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D738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BD738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D738C"/>
    <w:rPr>
      <w:rFonts w:asciiTheme="majorHAnsi" w:eastAsiaTheme="majorEastAsia" w:hAnsiTheme="majorHAnsi" w:cstheme="majorBidi"/>
      <w:i/>
      <w:iCs/>
      <w:color w:val="0A4922" w:themeColor="accent1" w:themeShade="80"/>
      <w:sz w:val="21"/>
      <w:szCs w:val="21"/>
    </w:rPr>
  </w:style>
  <w:style w:type="character" w:customStyle="1" w:styleId="Heading8Char">
    <w:name w:val="Heading 8 Char"/>
    <w:basedOn w:val="DefaultParagraphFont"/>
    <w:link w:val="Heading8"/>
    <w:uiPriority w:val="9"/>
    <w:semiHidden/>
    <w:rsid w:val="00BD738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D738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D738C"/>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BD738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D738C"/>
    <w:rPr>
      <w:rFonts w:asciiTheme="majorHAnsi" w:eastAsiaTheme="majorEastAsia" w:hAnsiTheme="majorHAnsi" w:cstheme="majorBidi"/>
      <w:sz w:val="24"/>
      <w:szCs w:val="24"/>
    </w:rPr>
  </w:style>
  <w:style w:type="character" w:styleId="Strong">
    <w:name w:val="Strong"/>
    <w:basedOn w:val="DefaultParagraphFont"/>
    <w:uiPriority w:val="22"/>
    <w:qFormat/>
    <w:rsid w:val="00BD738C"/>
    <w:rPr>
      <w:b/>
      <w:bCs/>
    </w:rPr>
  </w:style>
  <w:style w:type="character" w:styleId="Emphasis">
    <w:name w:val="Emphasis"/>
    <w:basedOn w:val="DefaultParagraphFont"/>
    <w:uiPriority w:val="20"/>
    <w:qFormat/>
    <w:rsid w:val="00BD738C"/>
    <w:rPr>
      <w:i/>
      <w:iCs/>
    </w:rPr>
  </w:style>
  <w:style w:type="paragraph" w:styleId="Quote">
    <w:name w:val="Quote"/>
    <w:basedOn w:val="Normal"/>
    <w:next w:val="Normal"/>
    <w:link w:val="QuoteChar"/>
    <w:uiPriority w:val="29"/>
    <w:qFormat/>
    <w:rsid w:val="00BD738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D738C"/>
    <w:rPr>
      <w:i/>
      <w:iCs/>
      <w:color w:val="404040" w:themeColor="text1" w:themeTint="BF"/>
    </w:rPr>
  </w:style>
  <w:style w:type="paragraph" w:styleId="IntenseQuote">
    <w:name w:val="Intense Quote"/>
    <w:basedOn w:val="Normal"/>
    <w:next w:val="Normal"/>
    <w:link w:val="IntenseQuoteChar"/>
    <w:uiPriority w:val="30"/>
    <w:qFormat/>
    <w:rsid w:val="00BD738C"/>
    <w:pPr>
      <w:pBdr>
        <w:left w:val="single" w:sz="18" w:space="12" w:color="159345" w:themeColor="accent1"/>
      </w:pBdr>
      <w:spacing w:before="100" w:beforeAutospacing="1" w:line="300" w:lineRule="auto"/>
      <w:ind w:left="1224" w:right="1224"/>
    </w:pPr>
    <w:rPr>
      <w:rFonts w:asciiTheme="majorHAnsi" w:eastAsiaTheme="majorEastAsia" w:hAnsiTheme="majorHAnsi" w:cstheme="majorBidi"/>
      <w:color w:val="159345" w:themeColor="accent1"/>
      <w:sz w:val="28"/>
      <w:szCs w:val="28"/>
    </w:rPr>
  </w:style>
  <w:style w:type="character" w:customStyle="1" w:styleId="IntenseQuoteChar">
    <w:name w:val="Intense Quote Char"/>
    <w:basedOn w:val="DefaultParagraphFont"/>
    <w:link w:val="IntenseQuote"/>
    <w:uiPriority w:val="30"/>
    <w:rsid w:val="00BD738C"/>
    <w:rPr>
      <w:rFonts w:asciiTheme="majorHAnsi" w:eastAsiaTheme="majorEastAsia" w:hAnsiTheme="majorHAnsi" w:cstheme="majorBidi"/>
      <w:color w:val="159345" w:themeColor="accent1"/>
      <w:sz w:val="28"/>
      <w:szCs w:val="28"/>
    </w:rPr>
  </w:style>
  <w:style w:type="character" w:styleId="SubtleEmphasis">
    <w:name w:val="Subtle Emphasis"/>
    <w:basedOn w:val="DefaultParagraphFont"/>
    <w:uiPriority w:val="19"/>
    <w:qFormat/>
    <w:rsid w:val="00BD738C"/>
    <w:rPr>
      <w:i/>
      <w:iCs/>
      <w:color w:val="404040" w:themeColor="text1" w:themeTint="BF"/>
    </w:rPr>
  </w:style>
  <w:style w:type="character" w:styleId="IntenseEmphasis">
    <w:name w:val="Intense Emphasis"/>
    <w:basedOn w:val="DefaultParagraphFont"/>
    <w:uiPriority w:val="21"/>
    <w:qFormat/>
    <w:rsid w:val="00BD738C"/>
    <w:rPr>
      <w:b/>
      <w:bCs/>
      <w:i/>
      <w:iCs/>
    </w:rPr>
  </w:style>
  <w:style w:type="character" w:styleId="SubtleReference">
    <w:name w:val="Subtle Reference"/>
    <w:basedOn w:val="DefaultParagraphFont"/>
    <w:uiPriority w:val="31"/>
    <w:qFormat/>
    <w:rsid w:val="00BD738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D738C"/>
    <w:rPr>
      <w:b/>
      <w:bCs/>
      <w:smallCaps/>
      <w:spacing w:val="5"/>
      <w:u w:val="single"/>
    </w:rPr>
  </w:style>
  <w:style w:type="character" w:styleId="BookTitle">
    <w:name w:val="Book Title"/>
    <w:basedOn w:val="DefaultParagraphFont"/>
    <w:uiPriority w:val="33"/>
    <w:qFormat/>
    <w:rsid w:val="00BD738C"/>
    <w:rPr>
      <w:b/>
      <w:bCs/>
      <w:smallCaps/>
    </w:rPr>
  </w:style>
  <w:style w:type="paragraph" w:styleId="TOCHeading">
    <w:name w:val="TOC Heading"/>
    <w:basedOn w:val="Heading1"/>
    <w:next w:val="Normal"/>
    <w:uiPriority w:val="39"/>
    <w:unhideWhenUsed/>
    <w:qFormat/>
    <w:rsid w:val="00BD738C"/>
    <w:pPr>
      <w:outlineLvl w:val="9"/>
    </w:pPr>
  </w:style>
  <w:style w:type="character" w:customStyle="1" w:styleId="NoSpacingChar">
    <w:name w:val="No Spacing Char"/>
    <w:basedOn w:val="DefaultParagraphFont"/>
    <w:link w:val="NoSpacing"/>
    <w:uiPriority w:val="1"/>
    <w:rsid w:val="00BD738C"/>
  </w:style>
  <w:style w:type="paragraph" w:styleId="NormalWeb">
    <w:name w:val="Normal (Web)"/>
    <w:basedOn w:val="Normal"/>
    <w:uiPriority w:val="99"/>
    <w:semiHidden/>
    <w:unhideWhenUsed/>
    <w:rsid w:val="00BD73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D73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38C"/>
    <w:rPr>
      <w:rFonts w:ascii="Segoe UI" w:hAnsi="Segoe UI" w:cs="Segoe UI"/>
      <w:sz w:val="18"/>
      <w:szCs w:val="18"/>
    </w:rPr>
  </w:style>
  <w:style w:type="paragraph" w:styleId="TOC2">
    <w:name w:val="toc 2"/>
    <w:basedOn w:val="Normal"/>
    <w:next w:val="Normal"/>
    <w:autoRedefine/>
    <w:uiPriority w:val="39"/>
    <w:unhideWhenUsed/>
    <w:rsid w:val="009B4681"/>
    <w:pPr>
      <w:spacing w:after="100"/>
      <w:ind w:left="200"/>
    </w:pPr>
  </w:style>
  <w:style w:type="character" w:styleId="Hyperlink">
    <w:name w:val="Hyperlink"/>
    <w:basedOn w:val="DefaultParagraphFont"/>
    <w:uiPriority w:val="99"/>
    <w:unhideWhenUsed/>
    <w:rsid w:val="009B4681"/>
    <w:rPr>
      <w:color w:val="AC2C7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317335">
      <w:bodyDiv w:val="1"/>
      <w:marLeft w:val="0"/>
      <w:marRight w:val="0"/>
      <w:marTop w:val="0"/>
      <w:marBottom w:val="0"/>
      <w:divBdr>
        <w:top w:val="none" w:sz="0" w:space="0" w:color="auto"/>
        <w:left w:val="none" w:sz="0" w:space="0" w:color="auto"/>
        <w:bottom w:val="none" w:sz="0" w:space="0" w:color="auto"/>
        <w:right w:val="none" w:sz="0" w:space="0" w:color="auto"/>
      </w:divBdr>
    </w:div>
    <w:div w:id="120490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0.png"/><Relationship Id="rId18" Type="http://schemas.openxmlformats.org/officeDocument/2006/relationships/hyperlink" Target="mailto:keepingwellncl@tavi-port.nhs.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png"/><Relationship Id="rId17" Type="http://schemas.openxmlformats.org/officeDocument/2006/relationships/hyperlink" Target="mailto:keepingwellncl@tavi-port.nhs.uk" TargetMode="External"/><Relationship Id="rId2" Type="http://schemas.openxmlformats.org/officeDocument/2006/relationships/numbering" Target="numbering.xml"/><Relationship Id="rId16" Type="http://schemas.openxmlformats.org/officeDocument/2006/relationships/hyperlink" Target="mailto:keepingwellncl@tavi-port.nhs.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keepingwellncl@tavi-port.nhs.uk"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keepingwellncl.nhs.uk/referral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KeepingWell NCL">
      <a:dk1>
        <a:sysClr val="windowText" lastClr="000000"/>
      </a:dk1>
      <a:lt1>
        <a:sysClr val="window" lastClr="FFFFFF"/>
      </a:lt1>
      <a:dk2>
        <a:srgbClr val="44546A"/>
      </a:dk2>
      <a:lt2>
        <a:srgbClr val="E7E6E6"/>
      </a:lt2>
      <a:accent1>
        <a:srgbClr val="159345"/>
      </a:accent1>
      <a:accent2>
        <a:srgbClr val="AC2C75"/>
      </a:accent2>
      <a:accent3>
        <a:srgbClr val="A5A5A5"/>
      </a:accent3>
      <a:accent4>
        <a:srgbClr val="1AB064"/>
      </a:accent4>
      <a:accent5>
        <a:srgbClr val="70AD47"/>
      </a:accent5>
      <a:accent6>
        <a:srgbClr val="954F90"/>
      </a:accent6>
      <a:hlink>
        <a:srgbClr val="AC2C75"/>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0FED4-CC55-4C90-ADDE-D76EAE00C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referral guidance</vt:lpstr>
    </vt:vector>
  </TitlesOfParts>
  <Company/>
  <LinksUpToDate>false</LinksUpToDate>
  <CharactersWithSpaces>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guidance</dc:title>
  <dc:subject>for referrals for Intercultural Therapy through the KeepingWell NCL Hub</dc:subject>
  <dc:creator>Eve James</dc:creator>
  <cp:keywords/>
  <dc:description/>
  <cp:lastModifiedBy>Eve James</cp:lastModifiedBy>
  <cp:revision>16</cp:revision>
  <dcterms:created xsi:type="dcterms:W3CDTF">2021-12-03T15:43:00Z</dcterms:created>
  <dcterms:modified xsi:type="dcterms:W3CDTF">2022-03-11T15:02:00Z</dcterms:modified>
</cp:coreProperties>
</file>